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64FFA8CC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F42BB5">
        <w:t xml:space="preserve">Chemieverfahrenstechnik </w:t>
      </w:r>
      <w:r w:rsidR="005A07CC" w:rsidRPr="006D74AC">
        <w:t xml:space="preserve">nach dem BGBl. I Nr. </w:t>
      </w:r>
      <w:r w:rsidR="00F42BB5">
        <w:t>154</w:t>
      </w:r>
      <w:r w:rsidR="005A07CC" w:rsidRPr="006D74AC">
        <w:t>/201</w:t>
      </w:r>
      <w:r w:rsidR="00F42BB5">
        <w:t>7</w:t>
      </w:r>
      <w:r w:rsidR="005A07CC" w:rsidRPr="006D74AC">
        <w:t xml:space="preserve"> (</w:t>
      </w:r>
      <w:r w:rsidR="00F42BB5">
        <w:t>152</w:t>
      </w:r>
      <w:r w:rsidR="005A07CC" w:rsidRPr="006D74AC">
        <w:t>. Verordnung; Jahrgang 20</w:t>
      </w:r>
      <w:r w:rsidR="00352A33">
        <w:t>18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E43B39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E43B39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lastRenderedPageBreak/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4F0ED79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</w:r>
                  <w:proofErr w:type="gramStart"/>
                  <w:r w:rsidRPr="006D74AC">
                    <w:t>Erstreckt</w:t>
                  </w:r>
                  <w:proofErr w:type="gramEnd"/>
                  <w:r w:rsidRPr="006D74AC">
                    <w:t xml:space="preserve">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462952" w:rsidRPr="006D74AC">
                    <w:t>be</w:t>
                  </w:r>
                  <w:r w:rsidR="00462952">
                    <w:t>t</w:t>
                  </w:r>
                  <w:r w:rsidR="00462952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E43B39">
              <w:trPr>
                <w:trHeight w:hRule="exact" w:val="567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E43B39">
              <w:trPr>
                <w:trHeight w:val="56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E43B39">
              <w:trPr>
                <w:trHeight w:hRule="exact" w:val="567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E43B39">
              <w:trPr>
                <w:trHeight w:hRule="exact" w:val="56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BD7D98" w14:paraId="32F58CA0" w14:textId="77777777" w:rsidTr="00E43B39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357BF748" w14:textId="14F8C333" w:rsidR="00352A33" w:rsidRPr="00BD7D98" w:rsidRDefault="0014608C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D7D98">
              <w:rPr>
                <w:b/>
                <w:bCs/>
                <w:color w:val="FFFFFF" w:themeColor="background1"/>
                <w:sz w:val="22"/>
                <w:szCs w:val="28"/>
              </w:rPr>
              <w:lastRenderedPageBreak/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CA46B7" w14:textId="77777777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D9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D7D9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D9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E07D836" w14:textId="77777777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D9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D7D9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D9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6D09B25" w14:textId="09833F82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D9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D7D9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D9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BB1BCD6" w14:textId="65C5AFCC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D98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BD7D9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D9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BD7D98" w14:paraId="04B5549D" w14:textId="77777777" w:rsidTr="00E43B39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1120B61C" w14:textId="2665299C" w:rsidR="00352A33" w:rsidRPr="00BD7D98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D9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D9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D9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6D2B3DC4" w14:textId="3BDCD5A0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D9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BD7D98" w14:paraId="77D36756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7BAF00" w14:textId="1981B06E" w:rsidR="00352A33" w:rsidRPr="00620DE3" w:rsidRDefault="0014608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620DE3">
              <w:rPr>
                <w:rFonts w:ascii="Cambria" w:hAnsi="Cambria"/>
                <w:sz w:val="20"/>
                <w:szCs w:val="20"/>
              </w:rPr>
              <w:t>Kenntnis der Betriebs- und Rechtsform 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F57409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71395C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1546B3D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9E18C2A" w14:textId="615552C0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BD7D98" w14:paraId="39350F36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04304E86" w14:textId="67DEB33B" w:rsidR="00352A33" w:rsidRPr="00620DE3" w:rsidRDefault="0014608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620DE3">
              <w:rPr>
                <w:rFonts w:ascii="Cambria" w:hAnsi="Cambria"/>
                <w:sz w:val="20"/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11CF5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0B845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C60908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520B4CB" w14:textId="3EA2D4AF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BD7D98" w14:paraId="6AF061B8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3956F52" w14:textId="7FEE71F6" w:rsidR="00352A33" w:rsidRPr="00620DE3" w:rsidRDefault="0014608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620DE3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DC7B6C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77C7E2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ECC619" w14:textId="77777777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F234039" w14:textId="53552802" w:rsidR="00352A33" w:rsidRPr="00BD7D98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4608C" w:rsidRPr="00BD7D98" w14:paraId="648D4889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7A385F6" w14:textId="1F5A30D3" w:rsidR="0014608C" w:rsidRPr="00620DE3" w:rsidRDefault="0014608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620DE3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Lehrbetriebs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756FC5E" w14:textId="77777777" w:rsidR="0014608C" w:rsidRPr="00BD7D98" w:rsidRDefault="0014608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1C7F5B" w14:textId="77777777" w:rsidR="0014608C" w:rsidRPr="00BD7D98" w:rsidRDefault="0014608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4EC4C3" w14:textId="77777777" w:rsidR="0014608C" w:rsidRPr="00BD7D98" w:rsidRDefault="0014608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FDF4CAC" w14:textId="77777777" w:rsidR="0014608C" w:rsidRPr="00BD7D98" w:rsidRDefault="0014608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8627376" w14:textId="77777777" w:rsidR="001A7575" w:rsidRDefault="001A7575"/>
    <w:p w14:paraId="723B6C10" w14:textId="77777777" w:rsidR="00734EA4" w:rsidRPr="00BD7D98" w:rsidRDefault="00734EA4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BD7D98" w14:paraId="66E45A8C" w14:textId="77777777" w:rsidTr="00E43B39">
        <w:trPr>
          <w:trHeight w:hRule="exact" w:val="1472"/>
        </w:trPr>
        <w:tc>
          <w:tcPr>
            <w:tcW w:w="3323" w:type="pct"/>
            <w:shd w:val="clear" w:color="auto" w:fill="354E19"/>
            <w:vAlign w:val="center"/>
          </w:tcPr>
          <w:p w14:paraId="40F1537F" w14:textId="269D55F6" w:rsidR="00352A33" w:rsidRPr="00BD7D98" w:rsidRDefault="00841316" w:rsidP="0084131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BD7D98">
              <w:rPr>
                <w:b/>
                <w:bCs/>
                <w:color w:val="FFFFFF" w:themeColor="background1"/>
                <w:sz w:val="22"/>
                <w:szCs w:val="28"/>
              </w:rPr>
              <w:t xml:space="preserve">Fachübergreifende Ausbildung (Schlüsselqualifikationen) </w:t>
            </w:r>
            <w:r w:rsidRPr="00507DAC">
              <w:rPr>
                <w:color w:val="FFFFFF" w:themeColor="background1"/>
                <w:sz w:val="22"/>
                <w:szCs w:val="28"/>
              </w:rPr>
              <w:t>In der</w:t>
            </w:r>
            <w:r w:rsidRPr="00BD7D98">
              <w:rPr>
                <w:b/>
                <w:bCs/>
                <w:color w:val="FFFFFF" w:themeColor="background1"/>
                <w:sz w:val="22"/>
                <w:szCs w:val="28"/>
              </w:rPr>
              <w:t xml:space="preserve"> Art der Vermittlung </w:t>
            </w:r>
            <w:r w:rsidRPr="00507DAC">
              <w:rPr>
                <w:color w:val="FFFFFF" w:themeColor="background1"/>
                <w:sz w:val="22"/>
                <w:szCs w:val="28"/>
              </w:rPr>
              <w:t>der fachlichen Kenntnisse und Fertigkeiten ist auf die Förderung folgender fachübergreifender Kompetenzen des Lehrlings Bedacht zu nehmen:</w:t>
            </w:r>
            <w:r w:rsidRPr="00BD7D98">
              <w:rPr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51D1591" w14:textId="77777777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D9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D7D9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D9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7D11AC4" w14:textId="77777777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D9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D7D9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D9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98E94E8" w14:textId="1D751E75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D9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D7D9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D9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4AF9B16B" w14:textId="79ECB9DA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7D98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BD7D9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D7D9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BD7D98" w14:paraId="06C13EB1" w14:textId="77777777" w:rsidTr="00E43B39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61728ECA" w14:textId="77777777" w:rsidR="00352A33" w:rsidRPr="00BD7D98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7D98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2DCC4BC" w14:textId="77777777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D9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A74229B" w14:textId="77777777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D9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B89CDA2" w14:textId="311E3D8E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D9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038383F0" w14:textId="5DF35828" w:rsidR="00352A33" w:rsidRPr="00BD7D98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7D9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BD7D98" w14:paraId="6151E1B3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E8ECEEA" w14:textId="75D8B032" w:rsidR="00E436DA" w:rsidRPr="00BD7D98" w:rsidRDefault="00BD7D98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BD7D98">
              <w:rPr>
                <w:rFonts w:ascii="Cambria" w:hAnsi="Cambria"/>
                <w:b/>
                <w:bCs/>
                <w:sz w:val="20"/>
                <w:szCs w:val="20"/>
              </w:rPr>
              <w:t xml:space="preserve">Methodenkompetenz: </w:t>
            </w:r>
            <w:r w:rsidRPr="00BD7D98">
              <w:rPr>
                <w:rFonts w:ascii="Cambria" w:hAnsi="Cambria"/>
                <w:sz w:val="20"/>
                <w:szCs w:val="20"/>
              </w:rPr>
              <w:t>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D7D98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BD7D98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etc.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A4ACD8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879908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B7A165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DBAF4E7" w14:textId="50A2B2F1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BD7D98" w14:paraId="28EC78E1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D4C6F57" w14:textId="4E15D7AB" w:rsidR="00352A33" w:rsidRPr="00BD7D98" w:rsidRDefault="00BD7D98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BD7D98">
              <w:rPr>
                <w:rFonts w:ascii="Cambria" w:hAnsi="Cambria"/>
                <w:b/>
                <w:bCs/>
                <w:sz w:val="20"/>
                <w:szCs w:val="20"/>
              </w:rPr>
              <w:t xml:space="preserve">Soziale Kompetenz: </w:t>
            </w:r>
            <w:r w:rsidRPr="00BD7D98">
              <w:rPr>
                <w:rFonts w:ascii="Cambria" w:hAnsi="Cambria"/>
                <w:sz w:val="20"/>
                <w:szCs w:val="20"/>
              </w:rPr>
              <w:t>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D7D98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BD7D98">
              <w:rPr>
                <w:rFonts w:ascii="Cambria" w:hAnsi="Cambria"/>
                <w:sz w:val="20"/>
                <w:szCs w:val="20"/>
              </w:rPr>
              <w:t xml:space="preserve"> in Teams arbeiten etc.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5811E2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B2C433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C51864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FA9A28A" w14:textId="7BB74AFF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BD7D98" w14:paraId="760124C7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12E613B4" w14:textId="2DBD1DC6" w:rsidR="00352A33" w:rsidRPr="00BD7D98" w:rsidRDefault="00BD7D98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BD7D98">
              <w:rPr>
                <w:rFonts w:ascii="Cambria" w:hAnsi="Cambria"/>
                <w:b/>
                <w:bCs/>
                <w:sz w:val="20"/>
                <w:szCs w:val="20"/>
              </w:rPr>
              <w:t xml:space="preserve">Personale Kompetenz: </w:t>
            </w:r>
            <w:r w:rsidRPr="00BD7D98">
              <w:rPr>
                <w:rFonts w:ascii="Cambria" w:hAnsi="Cambria"/>
                <w:sz w:val="20"/>
                <w:szCs w:val="20"/>
              </w:rPr>
              <w:t>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D7D98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BD7D98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etc.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8E8A34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58AE01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B12D36" w14:textId="77777777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5E40E42" w14:textId="414582A1" w:rsidR="00352A33" w:rsidRPr="00BD7D98" w:rsidRDefault="00352A33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1316" w:rsidRPr="00BD7D98" w14:paraId="2DE2A268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0CD62E02" w14:textId="76169374" w:rsidR="00841316" w:rsidRPr="00BD7D98" w:rsidRDefault="00BD7D98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BD7D98">
              <w:rPr>
                <w:rFonts w:ascii="Cambria" w:hAnsi="Cambria"/>
                <w:b/>
                <w:bCs/>
                <w:sz w:val="20"/>
                <w:szCs w:val="20"/>
              </w:rPr>
              <w:t xml:space="preserve">Kommunikative Kompetenz: </w:t>
            </w:r>
            <w:r w:rsidRPr="00BD7D98">
              <w:rPr>
                <w:rFonts w:ascii="Cambria" w:hAnsi="Cambria"/>
                <w:sz w:val="20"/>
                <w:szCs w:val="20"/>
              </w:rPr>
              <w:t>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D7D98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BD7D98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FAFC2A5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CAE518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6C3A98D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B4C6C47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1316" w:rsidRPr="00BD7D98" w14:paraId="1AD72EF3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7DEB5D2A" w14:textId="55E0A4A0" w:rsidR="00841316" w:rsidRPr="00BD7D98" w:rsidRDefault="00BD7D98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BD7D98">
              <w:rPr>
                <w:rFonts w:ascii="Cambria" w:hAnsi="Cambria"/>
                <w:b/>
                <w:bCs/>
                <w:sz w:val="20"/>
                <w:szCs w:val="20"/>
              </w:rPr>
              <w:t xml:space="preserve">Arbeitsgrundsätze: </w:t>
            </w:r>
            <w:r w:rsidRPr="00BD7D98">
              <w:rPr>
                <w:rFonts w:ascii="Cambria" w:hAnsi="Cambria"/>
                <w:sz w:val="20"/>
                <w:szCs w:val="20"/>
              </w:rPr>
              <w:t>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D7D98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BD7D98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etc.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962180E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41BE68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C327626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6EB4587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1316" w:rsidRPr="00BD7D98" w14:paraId="0AF28860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129B1D35" w14:textId="71418551" w:rsidR="00841316" w:rsidRPr="00BD7D98" w:rsidRDefault="00BD7D98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BD7D98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BD7D98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3BC3572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5B4349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311E70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5697D24" w14:textId="77777777" w:rsidR="00841316" w:rsidRPr="00BD7D98" w:rsidRDefault="00841316" w:rsidP="00E43B39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5717F51" w14:textId="5D174A27" w:rsidR="00734EA4" w:rsidRDefault="00734EA4">
      <w:pPr>
        <w:spacing w:before="0" w:after="160" w:line="259" w:lineRule="auto"/>
      </w:pPr>
    </w:p>
    <w:p w14:paraId="6184AE4E" w14:textId="77777777" w:rsidR="00734EA4" w:rsidRDefault="00734EA4">
      <w:pPr>
        <w:spacing w:before="0"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2B2F29" w14:paraId="53CE37CD" w14:textId="77777777" w:rsidTr="00E43B39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5AE717E3" w14:textId="69BC0F52" w:rsidR="00352A33" w:rsidRPr="002B2F29" w:rsidRDefault="00BD7D98" w:rsidP="00352A33">
            <w:pPr>
              <w:spacing w:before="40" w:after="40"/>
              <w:rPr>
                <w:color w:val="FFFFFF" w:themeColor="background1"/>
                <w:sz w:val="22"/>
              </w:rPr>
            </w:pPr>
            <w:r w:rsidRPr="002B2F29">
              <w:rPr>
                <w:b/>
                <w:bCs/>
                <w:color w:val="FFFFFF" w:themeColor="background1"/>
                <w:sz w:val="22"/>
                <w:szCs w:val="28"/>
              </w:rPr>
              <w:lastRenderedPageBreak/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E8C4451" w14:textId="77777777" w:rsidR="00352A33" w:rsidRPr="002B2F29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B2F29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2B2F2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B2F2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625C400" w14:textId="77777777" w:rsidR="00352A33" w:rsidRPr="002B2F29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B2F29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2B2F2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B2F2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9408CBE" w14:textId="702C3C43" w:rsidR="00352A33" w:rsidRPr="002B2F29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B2F29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2B2F2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B2F29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FF7D28B" w14:textId="41D47669" w:rsidR="00352A33" w:rsidRPr="002B2F29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B2F29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2B2F29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2B2F29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2B2F29" w14:paraId="1B1F52EB" w14:textId="77777777" w:rsidTr="00E43B39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293F8E83" w14:textId="2731ECFB" w:rsidR="00352A33" w:rsidRPr="002B2F29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064B05AB" w14:textId="77777777" w:rsidR="00352A33" w:rsidRPr="002B2F29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B2F2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7252EF1" w14:textId="77777777" w:rsidR="00352A33" w:rsidRPr="002B2F29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B2F2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7B1E51F" w14:textId="6C10C1B6" w:rsidR="00352A33" w:rsidRPr="002B2F29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B2F2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13E2A24" w14:textId="0C641CCF" w:rsidR="00352A33" w:rsidRPr="002B2F29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B2F2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2B2F29" w14:paraId="2A3A9C59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BBCB693" w14:textId="61C7FAB3" w:rsidR="00352A33" w:rsidRPr="002B2F29" w:rsidRDefault="00BD7D98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Ergonomisches Gestalten des Arbeitsplatzes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B4D788" w14:textId="77777777" w:rsidR="00352A33" w:rsidRPr="002B2F29" w:rsidRDefault="00352A3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BD43BE" w14:textId="77777777" w:rsidR="00352A33" w:rsidRPr="002B2F29" w:rsidRDefault="00352A3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0E4D0D" w14:textId="77777777" w:rsidR="00352A33" w:rsidRPr="002B2F29" w:rsidRDefault="00352A3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C5C7775" w14:textId="7EAFD1BD" w:rsidR="00352A33" w:rsidRPr="002B2F29" w:rsidRDefault="00352A3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2B2F29" w14:paraId="29581FDA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58CD7C1" w14:textId="3547A8B7" w:rsidR="00352A33" w:rsidRPr="002B2F29" w:rsidRDefault="00BD7D98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73DBD4A" w14:textId="77777777" w:rsidR="00352A33" w:rsidRPr="002B2F29" w:rsidRDefault="00352A3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6937FE0" w14:textId="77777777" w:rsidR="00352A33" w:rsidRPr="002B2F29" w:rsidRDefault="00352A3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7798706" w14:textId="77777777" w:rsidR="00352A33" w:rsidRPr="002B2F29" w:rsidRDefault="00352A3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591F3C4" w14:textId="51AEBC45" w:rsidR="00352A33" w:rsidRPr="002B2F29" w:rsidRDefault="00352A3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2B2F29" w14:paraId="74739201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05E61EE0" w14:textId="3EE909BC" w:rsidR="00523C5D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Durchführen der Arbeitsplanung; Festlegen von Arbeitsschritten, Arbeitsmitteln und Arbeitsmethoden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83B18A4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2D3E4B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BBA09B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10D4097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2B2F29" w14:paraId="3D9AB5FA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730305C6" w14:textId="52E01863" w:rsidR="00523C5D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Grundkenntnisse des Produktionsmanagements 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Produktionsplanung, Mengenplanung, Termin- und Kapazitätsplanung, Betriebsdatenerfassung)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016FCB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02AAA1F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CD25E7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C33E311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2B2F29" w14:paraId="2746777E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5BA9B5F3" w14:textId="7E78F072" w:rsidR="00523C5D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des Produktionsmanagements 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Produktionsplanung, Mengenplanung, Termin- und Kapazitätsplanung, Betriebsdatenerfassung)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B62543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EC04A18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1E72A86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C572C2D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2B2F29" w14:paraId="7D4F12A1" w14:textId="77777777" w:rsidTr="00E43B39">
        <w:trPr>
          <w:trHeight w:val="1247"/>
        </w:trPr>
        <w:tc>
          <w:tcPr>
            <w:tcW w:w="3323" w:type="pct"/>
            <w:shd w:val="clear" w:color="auto" w:fill="auto"/>
            <w:vAlign w:val="center"/>
          </w:tcPr>
          <w:p w14:paraId="095ECD2B" w14:textId="7D60D6FD" w:rsidR="00523C5D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Lesen und Anwenden von technischen Unterlagen 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von Skizzen, Zeichnungen, Arbeitsanweisungen, Ablaufplänen, Bedienungsanleitungen, Wartungsplänen, Instandhaltungsplänen, Grundfließschemen, Verfahrensfließschemen, Rohrleitungs- und Instrumentenfließschemen, Symbole in Fließschemata)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4F19DCD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43F7746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CF7BF0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FD29946" w14:textId="77777777" w:rsidR="00523C5D" w:rsidRPr="002B2F29" w:rsidRDefault="00523C5D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7D98" w:rsidRPr="002B2F29" w14:paraId="1C2B1C25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5F7CB629" w14:textId="6CD8AB1F" w:rsidR="00BD7D98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der betriebsspezifischen Vorschriften zur Arbeits- und Betriebshygiene und des richtigen Verhaltens in Bezug auf Kreuzkontamination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E653310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64C36F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3AA2BE8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26307B3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7D98" w:rsidRPr="002B2F29" w14:paraId="13154C4F" w14:textId="77777777" w:rsidTr="00E43B39">
        <w:trPr>
          <w:trHeight w:val="1247"/>
        </w:trPr>
        <w:tc>
          <w:tcPr>
            <w:tcW w:w="3323" w:type="pct"/>
            <w:shd w:val="clear" w:color="auto" w:fill="auto"/>
            <w:vAlign w:val="center"/>
          </w:tcPr>
          <w:p w14:paraId="75E0A9F6" w14:textId="5EB93276" w:rsidR="00BD7D98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Anwenden der persönlichen Schutzausrüstungen PSA 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Hautschutz, Atemschutz) sowie aller anderen erforderlichen Sicherheitsmaßnahmen im Umgang mit Roh-, Zusatz- und Hilfsstoffen, Arbeitsmitteln, Werkzeugen, Apparaten, Maschinen und chemischen Anlagen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6E52A11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08BB700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AF85942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4852625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7D98" w:rsidRPr="002B2F29" w14:paraId="54CD4063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2FFCB999" w14:textId="54967793" w:rsidR="00BD7D98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der berufsspezifischen allgemeinen, anorganischen, organischen und analytischen Chemie sowie Physik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D68F874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F1033C4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9E8D76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CA5EEF7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7D98" w:rsidRPr="002B2F29" w14:paraId="3698D357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EBA2903" w14:textId="7C7B26A6" w:rsidR="00BD7D98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Grundkenntnisse der Logistik (An- und Auslieferungslogistik)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6C423C5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D9D0194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B524967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ED6EEEE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7D98" w:rsidRPr="002B2F29" w14:paraId="005FE823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EECF8B9" w14:textId="33BFC209" w:rsidR="00BD7D98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Optimieren und Sicherstellen des Stoffflusses in der Produktion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40EA1AD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05D6D32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33010A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EBBA96E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7D98" w:rsidRPr="002B2F29" w14:paraId="756EBEE3" w14:textId="77777777" w:rsidTr="00E43B39">
        <w:trPr>
          <w:trHeight w:val="907"/>
        </w:trPr>
        <w:tc>
          <w:tcPr>
            <w:tcW w:w="3323" w:type="pct"/>
            <w:shd w:val="clear" w:color="auto" w:fill="auto"/>
            <w:vAlign w:val="center"/>
          </w:tcPr>
          <w:p w14:paraId="08DD0C66" w14:textId="1EC7C755" w:rsidR="00BD7D98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der betriebsspezifischen Roh-, Zusatz- und Hilfsstoffe für die Produktion, der betriebsspezifischen chemisch-technologischen Produkte, ihrer Eigenschaften, Verwendungs-, Verarbeitungs- und Lagermöglichkeiten sowie des Umgangs mit Sicherheitsdatenblättern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3315054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E3693D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0492CA0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241E804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D7D98" w:rsidRPr="002B2F29" w14:paraId="28039CA4" w14:textId="77777777" w:rsidTr="00E43B39">
        <w:trPr>
          <w:trHeight w:val="907"/>
        </w:trPr>
        <w:tc>
          <w:tcPr>
            <w:tcW w:w="3323" w:type="pct"/>
            <w:shd w:val="clear" w:color="auto" w:fill="auto"/>
            <w:vAlign w:val="center"/>
          </w:tcPr>
          <w:p w14:paraId="3D9958A8" w14:textId="72701699" w:rsidR="00BD7D98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des Aufbaus, der Funktion und der Bedienung von betriebsspezifischen Lagereinrichtungen für feste, flüssige und gasförmige Stoffe sowie des produktgerechten Abpackens bzw. Verpackens sowie Lagerns der Produkte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EEAE8EB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F64893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74B1B01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757A28B" w14:textId="77777777" w:rsidR="00BD7D98" w:rsidRPr="002B2F29" w:rsidRDefault="00BD7D98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6475D1F3" w14:textId="77777777" w:rsidTr="00E43B39">
        <w:trPr>
          <w:trHeight w:val="907"/>
        </w:trPr>
        <w:tc>
          <w:tcPr>
            <w:tcW w:w="3323" w:type="pct"/>
            <w:shd w:val="clear" w:color="auto" w:fill="auto"/>
            <w:vAlign w:val="center"/>
          </w:tcPr>
          <w:p w14:paraId="13FC7DA8" w14:textId="11138581" w:rsidR="00A93BEF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und Anwendung der Energieträger 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Brennstoffe, Strom, Wasserdampf, Kühlmittel) sowie der Möglichkeiten der Wärmeübertragung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86D5C3D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787190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A9A69D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8698DE8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7F49DFD3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51D16CA7" w14:textId="7E52048E" w:rsidR="00A93BEF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des Aufbaus, der Funktion und der Bedienung von Wärmetauschern und </w:t>
            </w:r>
            <w:proofErr w:type="spellStart"/>
            <w:r w:rsidRPr="002B2F29">
              <w:rPr>
                <w:rFonts w:ascii="Cambria" w:hAnsi="Cambria"/>
                <w:sz w:val="20"/>
                <w:szCs w:val="20"/>
              </w:rPr>
              <w:t>Kondensatabscheidern</w:t>
            </w:r>
            <w:proofErr w:type="spellEnd"/>
          </w:p>
        </w:tc>
        <w:tc>
          <w:tcPr>
            <w:tcW w:w="420" w:type="pct"/>
            <w:shd w:val="clear" w:color="auto" w:fill="auto"/>
            <w:vAlign w:val="center"/>
          </w:tcPr>
          <w:p w14:paraId="6A4230CF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5775DB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510151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4AC4117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244CD29" w14:textId="77777777" w:rsidR="00FE7F30" w:rsidRDefault="00FE7F30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A93BEF" w:rsidRPr="002B2F29" w14:paraId="7B7F1E46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6B7198B6" w14:textId="467CF160" w:rsidR="00A93BEF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lastRenderedPageBreak/>
              <w:t xml:space="preserve">Kenntnis der Erzeugung von Unterdruck (Vakuum) und Überdruck sowie des Aufbaus, der Funktion und der Bedienung von Maschinen zur Erzeugung von Unterdruck und Überdruck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FFC64D7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0B58D83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028261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B508806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05686F95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7D7B5AD0" w14:textId="4131A62F" w:rsidR="00A93BEF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des Aufbaus und der Funktion von Rohrleitungen und Armaturen sowie über deren Normung und Kennzeichnung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057E736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74DA9A8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9725DDD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387A242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7929E242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474A3821" w14:textId="748DC881" w:rsidR="00A93BEF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Grundkenntnisse der strömungstechnischen Vorgänge in Rohrleitungen und Armaturen </w:t>
            </w:r>
            <w:r w:rsidR="00E43B39">
              <w:rPr>
                <w:rFonts w:ascii="Cambria" w:hAnsi="Cambria"/>
                <w:sz w:val="20"/>
                <w:szCs w:val="20"/>
              </w:rPr>
              <w:br/>
            </w:r>
            <w:r w:rsidRPr="002B2F29">
              <w:rPr>
                <w:rFonts w:ascii="Cambria" w:hAnsi="Cambria"/>
                <w:sz w:val="20"/>
                <w:szCs w:val="20"/>
              </w:rPr>
              <w:t>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Strömungsarten, Druckänderungen usw.)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58178B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F8BE2E6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8C5C42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7BC2D7D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227A7FBD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2B96616B" w14:textId="38343E74" w:rsidR="00A93BEF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des Aufbaus, der Funktion und der Bedienung von Fördereinrichtungen für feste, flüssige und gasförmige Stoffe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3240F27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66175E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9B66F0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0C8CD58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5940B87B" w14:textId="77777777" w:rsidTr="00E43B39">
        <w:trPr>
          <w:trHeight w:val="907"/>
        </w:trPr>
        <w:tc>
          <w:tcPr>
            <w:tcW w:w="3323" w:type="pct"/>
            <w:shd w:val="clear" w:color="auto" w:fill="auto"/>
            <w:vAlign w:val="center"/>
          </w:tcPr>
          <w:p w14:paraId="5B152543" w14:textId="7EB4C3B6" w:rsidR="00A93BEF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Prinzipien der Stoffaufbereitung 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Zerkleinern, Verteilen, Mischen, Kneten, Lösen, Formgebungsverfahren usw.) sowie des Aufbaus, der Funktion und Bedienung von Apparaten zur Stoffaufbereitung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54350C2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7DFF04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ACFC72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55D5989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49B7066C" w14:textId="77777777" w:rsidTr="00E43B39">
        <w:trPr>
          <w:trHeight w:val="907"/>
        </w:trPr>
        <w:tc>
          <w:tcPr>
            <w:tcW w:w="3323" w:type="pct"/>
            <w:shd w:val="clear" w:color="auto" w:fill="auto"/>
            <w:vAlign w:val="center"/>
          </w:tcPr>
          <w:p w14:paraId="525F8AD1" w14:textId="6B219477" w:rsidR="00A93BEF" w:rsidRPr="002B2F29" w:rsidRDefault="00A93BEF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Prinzipien der mechanischen Trennverfahren 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Sedimentieren, Filtrieren, Zentrifugieren, Klassieren) sowie des Aufbaus, der Funktion und Bedienung von Apparaten zur Trennung von fest/fest, fest/flüssig und flüssig/flüssig Gemischen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65D65AB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812209F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A7A42E3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F64D11D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061A5826" w14:textId="77777777" w:rsidTr="00E43B39">
        <w:trPr>
          <w:trHeight w:val="907"/>
        </w:trPr>
        <w:tc>
          <w:tcPr>
            <w:tcW w:w="3323" w:type="pct"/>
            <w:shd w:val="clear" w:color="auto" w:fill="auto"/>
            <w:vAlign w:val="center"/>
          </w:tcPr>
          <w:p w14:paraId="0762928F" w14:textId="6D6B36BC" w:rsidR="00A93BEF" w:rsidRPr="002B2F29" w:rsidRDefault="00A93BEF" w:rsidP="00A93BEF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Prinzipien der thermischen Trennverfahren (z</w:t>
            </w:r>
            <w:r w:rsidR="00620DE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 w:rsidR="00620DE3"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Trocknen, Verdampfen, Eindampfen, Destillieren, Rektifizieren, Kristallisieren) sowie über den Aufbau, die Funktion und Bedienung von Apparaten zur thermischen Trennung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B9D2295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449589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0294F5C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BD644CE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0C00C303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0E3F9568" w14:textId="0CAEE33D" w:rsidR="00A93BEF" w:rsidRPr="002B2F29" w:rsidRDefault="00481DE4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Mitarbeiten beim Bedienen der betriebsspezifischen Fördereinrichtungen sowie Apparaten zur Stoffaufbereitung und mechanischen und thermischen Trennung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8537F50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47F34E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14DEFF9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5FBE804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93BEF" w:rsidRPr="002B2F29" w14:paraId="45C99BC4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404338BE" w14:textId="7AC7A41A" w:rsidR="00A93BEF" w:rsidRPr="002B2F29" w:rsidRDefault="00481DE4" w:rsidP="00481DE4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Bedienen der betriebsspezifischen Fördereinrichtungen sowie Apparate zur Stoffaufbereitung und mechanischen und thermischen Trennung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E49F3F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6BE2600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C4C06A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2168A6F" w14:textId="77777777" w:rsidR="00A93BEF" w:rsidRPr="002B2F29" w:rsidRDefault="00A93BEF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4C6EB438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589E16DA" w14:textId="4DC84616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Prinzipien der physikalisch-chemischen Trennverfahren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Extrahieren, Ionenaustausch, Membrantechnologie) sowie des Aufbaus, der Funktion und Bedienung von Apparaten zur physikalisch-chemischen Trennung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3DF8EE0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78ED81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43C6EAB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D6E52E3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15CA306D" w14:textId="77777777" w:rsidTr="00E43B39">
        <w:trPr>
          <w:trHeight w:val="907"/>
        </w:trPr>
        <w:tc>
          <w:tcPr>
            <w:tcW w:w="3323" w:type="pct"/>
            <w:shd w:val="clear" w:color="auto" w:fill="auto"/>
            <w:vAlign w:val="center"/>
          </w:tcPr>
          <w:p w14:paraId="4E049572" w14:textId="168F9307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Prinzipien der Entstaubung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mechanische Entstaubung, Elektroentstaubung) und Gasreinigung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Absorption, Adsorption, katalytische Gasreinigung) sowie des Aufbaus, der Funktion und Bedienung von Apparaten zur Entstaubung und Gasreinigung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0E60CBC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483455D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B08DC0D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DEE9B58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15DEBB1A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08B07495" w14:textId="1D0821DA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Mitarbeiten beim Bedienen der betriebsspezifischen Apparate zur physikalisch-chemischen Trennung sowie zur Entstaubung und Gasreinigung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4752755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72D25A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8FCA4E1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F4E31F1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680C62DB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1CBC920A" w14:textId="00901471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Bedienen der betriebsspezifischen Apparate zur physikalisch-chemischen Trennung sowie zur Entstaubung und Gasreinigung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93B48F3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26A5869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CE8E96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340CD30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80975BF" w14:textId="77777777" w:rsidR="00F4628F" w:rsidRDefault="00F4628F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620DE3" w:rsidRPr="002B2F29" w14:paraId="52242492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E396326" w14:textId="561E6B5B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lastRenderedPageBreak/>
              <w:t>Kenntnis der Prinzipien zur Reinigung von Abwasser und Abluft, des Aufbaus, der Funktion und Bedienung von Apparaten und Anlagen zur Abwasser- und Abluftreinigung sowie der Möglichkeiten zur Beseitigung von Chemieabfällen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A9D6F63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4C706DA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5EA387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3B42CB7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14AC24F0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4F9BE8CD" w14:textId="475F48B5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des Zusammenwirkens und der Vernetzung der Apparate und Maschinen sowie der Arbeitsabläufe und Prozesse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Stofffluss, Stoffumsetzung, Energieeinsatz, Abfall usw.) in den betriebsspezifischen Produktionsanlagen zur Erzeugung der Produkte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B3EF2AA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F036B5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6F7427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8C7D110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5654C4A5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2B11C1A9" w14:textId="79498B1E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Kenntnis und Anwendung der betriebsspezifischen Applikationen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2B2F29">
              <w:rPr>
                <w:rFonts w:ascii="Cambria" w:hAnsi="Cambria"/>
                <w:sz w:val="20"/>
                <w:szCs w:val="20"/>
              </w:rPr>
              <w:t>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zum Führen des Schichtprotokolls, für Dateneingaben, Störungsaufzeichnungen usw.)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33F4C41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5D4DFB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C854D08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0E90440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3F1A149D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0D08CD07" w14:textId="0165B818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Grundkenntnisse über Netze und Netzwerktechnik sowie über die Datenübertragung und Datenspeicherung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5AE4C47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AB10541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2350B3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9DBC4CF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79BCC776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66959596" w14:textId="27BB327C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Grundkenntnisse der Möglichkeiten der intelligenten und digitalen Vernetzung (mittels Informations- und Kommunikationstechnik) von Apparaten, Maschinen und Betriebsmittel entlang der gesamten Wertschöpfungskette für eine weitestgehend selbstorganisierte Produktion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398916F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F0FFF0D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3B88A9D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9AA6A4C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7DDB525E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5A3D029C" w14:textId="4738454B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Mitarbeiten beim Vorbereiten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Reinigen, Pflegen) der betriebsspezifischen Apparate, Maschinen und Produktionsanlagen nach Freigabe der Apparate, Maschinen und Produktionsanlagen </w:t>
            </w:r>
            <w:r w:rsidR="00EA6F12">
              <w:rPr>
                <w:rFonts w:ascii="Cambria" w:hAnsi="Cambria"/>
                <w:sz w:val="20"/>
                <w:szCs w:val="20"/>
              </w:rPr>
              <w:br/>
            </w:r>
            <w:r w:rsidRPr="002B2F29">
              <w:rPr>
                <w:rFonts w:ascii="Cambria" w:hAnsi="Cambria"/>
                <w:sz w:val="20"/>
                <w:szCs w:val="20"/>
              </w:rPr>
              <w:t>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Reaktoren, Autoklaven) gemäß Sicherheitsvorschriften (Freischalten, Sichern usw.) durch befugte Personen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19A078A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D20366A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7D44EF6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6E5EDA9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4F9B3D20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61F3E884" w14:textId="3FF6CFD6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Vorbereiten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Reinigen, Pflegen) der betriebsspezifischen Apparate, Maschinen und Produktionsanlagen nach Freigabe der Apparate, Maschinen und Produktionsanlagen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Reaktoren, Autoklaven) gemäß Sicherheitsvorschriften (Freischalten, Sichern usw.) durch befugte Personen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52C0045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4133B9E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0E31375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26E6165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68462DF0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1184E1E0" w14:textId="3EE26533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Mitarbeiten beim Rüsten, Umrüsten, Beschicken sowie An- und Ausfahren der betriebsspezifischen Apparate, Maschinen und Produktionsanlagen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Reaktoren, Autoklaven)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1D9FB68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8EA4FE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5C6072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3ECA36C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04B7E0F1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675D49DE" w14:textId="173B56BD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Rüsten, Umrüsten, Beschicken sowie An- und Ausfahren der betriebsspezifischen Apparate, Maschinen und Produktionsanlagen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Reaktoren, Autoklaven)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0E7C941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72082E7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54AABEB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CB206B3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12829470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1D3D1DD9" w14:textId="5A7B4A34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Mitarbeiten beim Bedienen und Überwachen (auch durch Kontrollgänge) der Arbeitsabläufe der betriebsspezifischen Produktionsanlagen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Reaktoren, Autoklaven)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AECC52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E1525C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72174D5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98BC7F3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74386CE1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6855A64" w14:textId="46DA99E9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Bedienen und Überwachen (auch durch Kontrollgänge) der Arbeitsabläufe der betriebsspezifischen Produktionsanlagen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Reaktoren, Autoklaven), Erkennen und Beseitigen von einfachen Ablaufstörungen im Produktionsprozess sowie frühzeitiges Erkennen von Störungen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4E96FAB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A6DB594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DDBF363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A150A49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5D5E75AE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3B5F631" w14:textId="4B4F647F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Grundkenntnisse der Steuer- und Regelungstechnik sowie Pneumatik sowie der Funktion der dazu notwendigen Geräte in Bezug auf die Automatisierung von Anlagen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6B2726A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6DC4AAF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C2A1748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5CBFAB9" w14:textId="77777777" w:rsidR="00620DE3" w:rsidRPr="002B2F29" w:rsidRDefault="00620DE3" w:rsidP="00334FB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4ABFCF3" w14:textId="77777777" w:rsidR="000061E0" w:rsidRDefault="000061E0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620DE3" w:rsidRPr="002B2F29" w14:paraId="7AEF6F0E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42815BF0" w14:textId="08078CAA" w:rsidR="00620DE3" w:rsidRPr="002B2F29" w:rsidRDefault="00620DE3" w:rsidP="000C167A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lastRenderedPageBreak/>
              <w:t>Kenntnis der Prinzipien der Messung von Zustandsgrößen in Chemieanlagen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Temperatur, Druck, Durchfluss, Füllstand, pH-Wert usw.), des Aufbaus, der Funktion und Einsatzbereiche der Messgeräte sowie über die Erfassung, Verarbeitung, Übertragung und Anzeige der Messwerte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7B0DB4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6DA265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FE8E56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5A736D6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50B7D11E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4E845895" w14:textId="77777777" w:rsidR="00620DE3" w:rsidRPr="002B2F29" w:rsidRDefault="00620DE3" w:rsidP="000C167A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Grundkenntnisse des Aufbaus, der grundlegenden Funktion und Komponenten sowie Kenntnis der Bedienung eines Prozessleitsystems (wie Bildschirmdarstellungen, Bedienmöglichkeiten, Datenmanagement, Eingriffsmöglichkeiten usw.)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47269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9F6BBB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F4C3B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1053B1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45B70D9B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36DE52DA" w14:textId="77777777" w:rsidR="00620DE3" w:rsidRPr="002B2F29" w:rsidRDefault="00620DE3" w:rsidP="000C167A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Mitarbeiten beim Bedienen des betriebsspezifischen Prozessleitsystems zur Regelung und Überwachung des Produktionsprozesses sowie zum Sicherstellen der Produktqualität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A1D3EB4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FB3A23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F213C7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2FED8293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4F4C7530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1A91C2BC" w14:textId="6E0F0D62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Bedienen des betriebsspezifischen Prozessleitsystems zur Regelung und Überwachung des Produktionsprozesses sowie zum Sicherstellen der Produktqualität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4E86E73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3E22EE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72E612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952246F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681304BE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43389B7D" w14:textId="7AC88E3E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Protokollieren von Betriebsdaten und Prozessaufzeichnungen sowie Überprüfen auf Vollständigkeit und Richtigkeit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DB1D736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9A136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E80A26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7DA2D9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575C2A04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3CA9CA89" w14:textId="7B05ED3C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und Mitarbeiten beim Auswerten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mittels statistischer Methoden) und Beurteilen von Betriebsdaten und Prozessaufzeichnungen sowie beim Einleiten von Korrekturmaßnahmen im Anlassfall und Erkennen von möglichen Prozessoptimierungen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8CBB79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A501E0A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9D1FDB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CDBCD34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5B6BF8D6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05C4CB66" w14:textId="2D6B1BCC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Grundkenntnisse und Anwendung des betriebsspezifischen Qualitätsmanagements einschließlich Dokumentation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9BBC9C4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38498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68C9E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515ABC7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5EE79FB1" w14:textId="77777777" w:rsidTr="00E43B39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58361A35" w14:textId="01162479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im Lehrbetrieb eingesetzten Methoden zur kontinuierlichen Verbesserung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der Qualität, Effizienz, Anlagensicherheit, Prozesse, Ergonomie, Rüstzeiten, Verfügbarkeit der Produktionsanlagen, Abfallminimierung, Ressourceneffizienz, des Stoffflusses und der Nachhaltigkeit)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E9855BF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51E48D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5DD52C0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6BC3FC7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3F2EA600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76E62070" w14:textId="4981F4BF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von Scale-up-Prozessen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5777267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26CD43B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41683D2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ECBE576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199672B5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7BA3286F" w14:textId="19972579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Probenahme (inklusive Probenvorbereitung und Probenaufbereitung) von festen, flüssigen und gasförmigen Stoffen sowie der Probenlagerung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D5333B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F4DEF5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1A3C2A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582E4F5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53A93DEA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3BBB4C37" w14:textId="45A25A36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Mitarbeiten beim Probenehmen (inklusive Probenvorbereitung und Probenaufbereitung) und beim Probenlagern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B67B83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513E954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7EB2E4F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45C4AAA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7567A512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1EB911E7" w14:textId="524D9D99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Probenehmen (inklusive Probenvorbereitung und Probenaufbereitung) und Probenlagern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F080D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8C961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967019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FB3F26A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212C80B" w14:textId="77777777" w:rsidR="00707EF1" w:rsidRDefault="00707EF1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620DE3" w:rsidRPr="002B2F29" w14:paraId="0C97ABD5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24349834" w14:textId="00E9BD60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lastRenderedPageBreak/>
              <w:t>Kenntnis der grundlegenden labormäßigen Methoden zur Bestimmung von Masse, Dichte, pH-Wert, Viskosität, Leitfähigkeit, Gehaltsgrößen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0BFD5B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A758FC4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B1908F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A7A3032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27312645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1A7D0AA" w14:textId="576DFAA9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Mitarbeiten beim Durchführen grundlegender labormäßiger Methoden zur Bestimmung von Masse, Dichte, pH-Wert, Viskosität, Leitfähigkeit, Gehaltsgrößen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DFCCBC6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221F6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61AABC5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83C951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75764FA2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2395E967" w14:textId="313612DE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Durchführen grundlegender labormäßiger Methoden zur Bestimmung von Masse, Dichte, pH-Wert, Viskosität, Leitfähigkeit, Gehaltsgrößen usw.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927E112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9F2426A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EA8BEF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A074F34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04512791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56DA0092" w14:textId="027E9097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Werkstoffe (wie Metalle und Kunststoffe) und Hilfsstoffe von Chemieanlagen, ihrer chemisch-technologischen Eigenschaften, Verwendungs- und Bearbeitungsmöglichkeiten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454D1A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4FBF41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0D0234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BE6E7A3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6A5C15DB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3867A6DD" w14:textId="4C7D9E56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Einfaches Instandhalten der zu verwendenden Werkzeuge, Maschinen, Apparate und Produktionsanlagen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B79472B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6AC497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8C067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8E0FD23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10E2E8AD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69BF735C" w14:textId="1B19E574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Berufsspezifisches Bearbeiten von Werkstoffen sowie Herstellen von lösbaren Verbindungen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0B9737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58FEE1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DAE531B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3B70FB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06AA7314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6C04FEB9" w14:textId="7537545C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Durchführen einfacher Montage- und Demontagearbeiten an betriebs-spezifischen Apparaten, Maschinen, und Produktionsanlagen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6AD032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5EEA6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5429B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1D154AD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7C52259B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540D84FB" w14:textId="66AC4155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Grundkenntnisse der betrieblichen Kosten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Energiekosten, Einsatzstoffkosten) deren Beeinflussbarkeit und deren Auswirkungen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5B36C4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4E74A7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FDE0ABA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44E5650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42A2D2A2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7679B6E6" w14:textId="79535A14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betrieblichen Kosten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B2F29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B2F29">
              <w:rPr>
                <w:rFonts w:ascii="Cambria" w:hAnsi="Cambria"/>
                <w:sz w:val="20"/>
                <w:szCs w:val="20"/>
              </w:rPr>
              <w:t xml:space="preserve"> Energiekosten, Einsatzstoffkosten) deren Beeinflussbarkeit und deren Auswirkungen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66A7EA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E8AAD0F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1DD5B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89DA3D4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745F3465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7B7769CA" w14:textId="0DB3A94E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F225B87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1E084F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31965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C625B8E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6704F271" w14:textId="77777777" w:rsidTr="00E43B39">
        <w:trPr>
          <w:trHeight w:val="907"/>
        </w:trPr>
        <w:tc>
          <w:tcPr>
            <w:tcW w:w="3323" w:type="pct"/>
            <w:shd w:val="clear" w:color="auto" w:fill="auto"/>
            <w:vAlign w:val="center"/>
          </w:tcPr>
          <w:p w14:paraId="0369F06B" w14:textId="4072C883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Die für den Lehrberuf relevanten Maßnahmen und Vorschriften zum Schutz der Umwelt: Grundkenntnisse der betrieblichen Maßnahmen zum sinnvollen Energieeinsatz im berufs-relevanten Arbeitsbereich; Grundkenntnisse der im berufsrelevanten Arbeitsbereich anfallenden Reststoffe und über deren Trennung, Wiederverwendung,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38F7BD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E84D05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839B322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89A002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18A98F47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43D5D92E" w14:textId="0E8325C1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des betrieblichen Brand- und Explosionsschutzes sowie der vorbeugenden Brand- und Explosionsschutzmaßnahmen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DF9846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59B404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5BF1AA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652FC65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67436B6D" w14:textId="77777777" w:rsidTr="00E43B39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BEA4F70" w14:textId="584C209F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einschlägigen Sicherheitsvorschriften und Normen sowie der einschlägigen Vorschriften zum Schutz des Lebens und der Gesundheit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6F661D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13588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23734F0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AF6C07D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479815F5" w14:textId="77777777" w:rsidTr="00E43B39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207D23B8" w14:textId="7B8C66D9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Erste-Hilfe-Ausbildung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BD00BA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5B0BC2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DEFD72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7ADF4E0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389F8EBB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308F3704" w14:textId="54529309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13E5439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F31B1E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8392D0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2A3FFF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0DE3" w:rsidRPr="002B2F29" w14:paraId="4E0913C5" w14:textId="77777777" w:rsidTr="00E43B39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5C337A44" w14:textId="7EDF9203" w:rsidR="00620DE3" w:rsidRPr="002B2F29" w:rsidRDefault="00620DE3" w:rsidP="00620DE3">
            <w:pPr>
              <w:pStyle w:val="Default"/>
              <w:rPr>
                <w:rFonts w:ascii="Cambria" w:hAnsi="Cambria"/>
                <w:szCs w:val="20"/>
              </w:rPr>
            </w:pPr>
            <w:r w:rsidRPr="002B2F29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</w:t>
            </w:r>
            <w:proofErr w:type="spellStart"/>
            <w:r w:rsidRPr="002B2F29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</w:p>
        </w:tc>
        <w:tc>
          <w:tcPr>
            <w:tcW w:w="420" w:type="pct"/>
            <w:shd w:val="clear" w:color="auto" w:fill="auto"/>
            <w:vAlign w:val="center"/>
          </w:tcPr>
          <w:p w14:paraId="3DE676D8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D6A04C6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74604A1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42C997C" w14:textId="77777777" w:rsidR="00620DE3" w:rsidRPr="002B2F29" w:rsidRDefault="00620DE3" w:rsidP="00E43B3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6605F8D4" w:rsidR="00843980" w:rsidRPr="00620DE3" w:rsidRDefault="00843980" w:rsidP="00620DE3"/>
    <w:sectPr w:rsidR="00843980" w:rsidRPr="00620DE3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CF029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39736A79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7969AD">
            <w:rPr>
              <w:rStyle w:val="FuzeileZchn"/>
              <w:color w:val="FFFFFF" w:themeColor="background1"/>
              <w:sz w:val="18"/>
              <w:szCs w:val="18"/>
            </w:rPr>
            <w:t>Chemieverfahrenstechnik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8076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7216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5D9D0A13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7969AD">
            <w:rPr>
              <w:rStyle w:val="FuzeileZchn"/>
              <w:color w:val="FFFFFF" w:themeColor="background1"/>
              <w:sz w:val="18"/>
              <w:szCs w:val="18"/>
            </w:rPr>
            <w:t>Chemieverfahrenstechnik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061E0"/>
    <w:rsid w:val="00020EC5"/>
    <w:rsid w:val="000220C9"/>
    <w:rsid w:val="00023430"/>
    <w:rsid w:val="00060EA4"/>
    <w:rsid w:val="00075A44"/>
    <w:rsid w:val="000970F2"/>
    <w:rsid w:val="000A467E"/>
    <w:rsid w:val="000D143F"/>
    <w:rsid w:val="001062AE"/>
    <w:rsid w:val="001308A7"/>
    <w:rsid w:val="0014608C"/>
    <w:rsid w:val="0015671D"/>
    <w:rsid w:val="001835EC"/>
    <w:rsid w:val="00193E8C"/>
    <w:rsid w:val="001A59CB"/>
    <w:rsid w:val="001A7575"/>
    <w:rsid w:val="001C0422"/>
    <w:rsid w:val="001E7968"/>
    <w:rsid w:val="002425B6"/>
    <w:rsid w:val="0026102D"/>
    <w:rsid w:val="002B2F29"/>
    <w:rsid w:val="002B4249"/>
    <w:rsid w:val="002C5242"/>
    <w:rsid w:val="002E251F"/>
    <w:rsid w:val="00314005"/>
    <w:rsid w:val="00315CAF"/>
    <w:rsid w:val="0032103F"/>
    <w:rsid w:val="00334FB9"/>
    <w:rsid w:val="00342D7C"/>
    <w:rsid w:val="00352A33"/>
    <w:rsid w:val="003A4716"/>
    <w:rsid w:val="003B278D"/>
    <w:rsid w:val="00402C81"/>
    <w:rsid w:val="004212CC"/>
    <w:rsid w:val="004457D4"/>
    <w:rsid w:val="00461C18"/>
    <w:rsid w:val="00462952"/>
    <w:rsid w:val="00477EED"/>
    <w:rsid w:val="00481DE4"/>
    <w:rsid w:val="00507DAC"/>
    <w:rsid w:val="00523C5D"/>
    <w:rsid w:val="0053390E"/>
    <w:rsid w:val="0054290C"/>
    <w:rsid w:val="005A07CC"/>
    <w:rsid w:val="006052BF"/>
    <w:rsid w:val="00620DE3"/>
    <w:rsid w:val="00652881"/>
    <w:rsid w:val="006A3052"/>
    <w:rsid w:val="006C7BDF"/>
    <w:rsid w:val="006D74AC"/>
    <w:rsid w:val="0070370D"/>
    <w:rsid w:val="00707EF1"/>
    <w:rsid w:val="00734EA4"/>
    <w:rsid w:val="007969AD"/>
    <w:rsid w:val="007A4A1C"/>
    <w:rsid w:val="007F0C7E"/>
    <w:rsid w:val="007F5228"/>
    <w:rsid w:val="008278C4"/>
    <w:rsid w:val="00841316"/>
    <w:rsid w:val="00843980"/>
    <w:rsid w:val="00843A58"/>
    <w:rsid w:val="00867336"/>
    <w:rsid w:val="00892249"/>
    <w:rsid w:val="008A512D"/>
    <w:rsid w:val="008B7258"/>
    <w:rsid w:val="008F303A"/>
    <w:rsid w:val="008F7E70"/>
    <w:rsid w:val="0090294C"/>
    <w:rsid w:val="0096501F"/>
    <w:rsid w:val="00991398"/>
    <w:rsid w:val="009F11C1"/>
    <w:rsid w:val="009F63BD"/>
    <w:rsid w:val="009F6CC3"/>
    <w:rsid w:val="00A02A9E"/>
    <w:rsid w:val="00A419EA"/>
    <w:rsid w:val="00A45812"/>
    <w:rsid w:val="00A52373"/>
    <w:rsid w:val="00A74545"/>
    <w:rsid w:val="00A93BEF"/>
    <w:rsid w:val="00AA4593"/>
    <w:rsid w:val="00AD4529"/>
    <w:rsid w:val="00B10B1F"/>
    <w:rsid w:val="00B12598"/>
    <w:rsid w:val="00B165FE"/>
    <w:rsid w:val="00B25997"/>
    <w:rsid w:val="00B44F11"/>
    <w:rsid w:val="00B96B7D"/>
    <w:rsid w:val="00B96CDC"/>
    <w:rsid w:val="00BA297E"/>
    <w:rsid w:val="00BD7D98"/>
    <w:rsid w:val="00BE2BC1"/>
    <w:rsid w:val="00C123B9"/>
    <w:rsid w:val="00C50EE5"/>
    <w:rsid w:val="00C52B43"/>
    <w:rsid w:val="00C52CCC"/>
    <w:rsid w:val="00C61B93"/>
    <w:rsid w:val="00C7703B"/>
    <w:rsid w:val="00C949C7"/>
    <w:rsid w:val="00CB68F4"/>
    <w:rsid w:val="00CD728C"/>
    <w:rsid w:val="00CF0291"/>
    <w:rsid w:val="00CF4835"/>
    <w:rsid w:val="00D04192"/>
    <w:rsid w:val="00D12018"/>
    <w:rsid w:val="00D66CC2"/>
    <w:rsid w:val="00DE57A0"/>
    <w:rsid w:val="00E21952"/>
    <w:rsid w:val="00E2294A"/>
    <w:rsid w:val="00E436DA"/>
    <w:rsid w:val="00E43B39"/>
    <w:rsid w:val="00E511A7"/>
    <w:rsid w:val="00E65EF6"/>
    <w:rsid w:val="00E93F44"/>
    <w:rsid w:val="00EA42F9"/>
    <w:rsid w:val="00EA6F12"/>
    <w:rsid w:val="00EB4EEE"/>
    <w:rsid w:val="00EE621B"/>
    <w:rsid w:val="00F02485"/>
    <w:rsid w:val="00F07C49"/>
    <w:rsid w:val="00F102AA"/>
    <w:rsid w:val="00F42BB5"/>
    <w:rsid w:val="00F4628F"/>
    <w:rsid w:val="00F55448"/>
    <w:rsid w:val="00F736F3"/>
    <w:rsid w:val="00F73778"/>
    <w:rsid w:val="00FA5624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18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2136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68</cp:revision>
  <dcterms:created xsi:type="dcterms:W3CDTF">2023-03-29T11:46:00Z</dcterms:created>
  <dcterms:modified xsi:type="dcterms:W3CDTF">2023-12-06T08:21:00Z</dcterms:modified>
</cp:coreProperties>
</file>