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024204A8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352A33" w:rsidRPr="00352A33">
        <w:t xml:space="preserve">Applikationsentwicklung – Coding </w:t>
      </w:r>
      <w:r w:rsidR="005A07CC" w:rsidRPr="006D74AC">
        <w:t>nach dem BGBl. I Nr. 32/2018 (</w:t>
      </w:r>
      <w:r w:rsidR="00352A33">
        <w:t>223</w:t>
      </w:r>
      <w:r w:rsidR="005A07CC" w:rsidRPr="006D74AC">
        <w:t>. Verordnung; Jahrgang 20</w:t>
      </w:r>
      <w:r w:rsidR="00352A33">
        <w:t>18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741D6C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741D6C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lastRenderedPageBreak/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</w:r>
                  <w:proofErr w:type="gramStart"/>
                  <w:r w:rsidRPr="006D74AC">
                    <w:t>Erstreckt</w:t>
                  </w:r>
                  <w:proofErr w:type="gramEnd"/>
                  <w:r w:rsidRPr="006D74AC">
                    <w:t xml:space="preserve">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proofErr w:type="spellStart"/>
                  <w:r w:rsidRPr="006D74AC">
                    <w:t>be</w:t>
                  </w:r>
                  <w:r w:rsidR="009F6CC3">
                    <w:t>-</w:t>
                  </w:r>
                  <w:r w:rsidRPr="006D74AC">
                    <w:t>trieblichen</w:t>
                  </w:r>
                  <w:proofErr w:type="spellEnd"/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741D6C">
              <w:trPr>
                <w:trHeight w:val="56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741D6C">
              <w:trPr>
                <w:trHeight w:hRule="exact" w:val="56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500AEB4B" w14:textId="77777777" w:rsidR="00352A33" w:rsidRPr="006D74AC" w:rsidRDefault="00352A33" w:rsidP="00741D6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352A33" w:rsidRPr="006D74AC" w:rsidRDefault="00352A33" w:rsidP="00741D6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  <w:vAlign w:val="center"/>
                </w:tcPr>
                <w:p w14:paraId="683FB60C" w14:textId="77777777" w:rsidR="00352A33" w:rsidRPr="006D74AC" w:rsidRDefault="00352A33" w:rsidP="00741D6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  <w:vAlign w:val="center"/>
                </w:tcPr>
                <w:p w14:paraId="41A28ECE" w14:textId="2CEF0280" w:rsidR="00352A33" w:rsidRPr="006D74AC" w:rsidRDefault="00352A33" w:rsidP="00741D6C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32F58CA0" w14:textId="77777777" w:rsidTr="00741D6C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357BF748" w14:textId="22267B55" w:rsidR="00352A33" w:rsidRPr="006D74AC" w:rsidRDefault="001835EC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Der 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BB1BCD6" w14:textId="65C5AFCC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04B5549D" w14:textId="77777777" w:rsidTr="00741D6C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1120B61C" w14:textId="77777777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D2B3DC4" w14:textId="3BDCD5A0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77D36756" w14:textId="77777777" w:rsidTr="00741D6C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7BAF00" w14:textId="05BBBBA2" w:rsidR="00352A33" w:rsidRPr="00E436DA" w:rsidRDefault="001835E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der Betriebs- und Rechtsform des Lehrbetriebes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6D71395C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21546B3D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/>
            <w:vAlign w:val="center"/>
          </w:tcPr>
          <w:p w14:paraId="69E18C2A" w14:textId="615552C0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39350F36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04304E86" w14:textId="306DFFFF" w:rsidR="00352A33" w:rsidRPr="00E436DA" w:rsidRDefault="001835E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 xml:space="preserve">Kenntnis </w:t>
            </w:r>
            <w:r w:rsidR="00C5025F" w:rsidRPr="00C5025F">
              <w:rPr>
                <w:rFonts w:ascii="Cambria" w:hAnsi="Cambria"/>
                <w:sz w:val="20"/>
                <w:szCs w:val="20"/>
              </w:rPr>
              <w:t>des organisatorischen Aufbaus und der Aufgaben und Zuständigkeiten der 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07C60908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/>
            <w:vAlign w:val="center"/>
          </w:tcPr>
          <w:p w14:paraId="6520B4CB" w14:textId="3EA2D4AF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F061B8" w14:textId="77777777" w:rsidTr="00741D6C">
        <w:trPr>
          <w:trHeight w:val="565"/>
        </w:trPr>
        <w:tc>
          <w:tcPr>
            <w:tcW w:w="3323" w:type="pct"/>
            <w:shd w:val="clear" w:color="auto" w:fill="auto"/>
            <w:vAlign w:val="center"/>
          </w:tcPr>
          <w:p w14:paraId="43956F52" w14:textId="372E5115" w:rsidR="00352A33" w:rsidRPr="00E436DA" w:rsidRDefault="001835E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Einführung in die Aufgaben, die Branchenstellung und das Angebot des Lehrbetriebes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C7B6C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77C7E2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ECC619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F234039" w14:textId="53552802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47FB04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22E1C6C2" w14:textId="135E363E" w:rsidR="00352A33" w:rsidRPr="00E436DA" w:rsidRDefault="001835E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der Marktposition und des Kundenkreises des Lehrbetriebes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92BE24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9557B9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178B64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/>
            <w:vAlign w:val="center"/>
          </w:tcPr>
          <w:p w14:paraId="7730C617" w14:textId="0A7859BE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1B8285C" w14:textId="77777777" w:rsidTr="00741D6C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6675AEF4" w14:textId="768E5CA8" w:rsidR="00352A33" w:rsidRPr="00E436DA" w:rsidRDefault="001835E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Ergonomisches Gestalten des Arbeitsplatzes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BC5B310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734048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3B353F1" w14:textId="77777777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03F59C4" w14:textId="104B4C1B" w:rsidR="00352A33" w:rsidRPr="006D74AC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2249" w:rsidRPr="006D74AC" w14:paraId="17F536DF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082BBF34" w14:textId="467D0872" w:rsidR="00892249" w:rsidRPr="00E436DA" w:rsidRDefault="001835EC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Verantwortungsbewusstes Umgehen mit sozialen Netzwerken und neuen digitalen Medien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152E245" w14:textId="77777777" w:rsidR="00892249" w:rsidRPr="006D74AC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3BF2345" w14:textId="77777777" w:rsidR="00892249" w:rsidRPr="006D74AC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6B8DC5E" w14:textId="77777777" w:rsidR="00892249" w:rsidRPr="006D74AC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CEAD4DF" w14:textId="77777777" w:rsidR="00892249" w:rsidRPr="006D74AC" w:rsidRDefault="0089224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5EC" w:rsidRPr="006D74AC" w14:paraId="14AEE713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2045BBC" w14:textId="40EC5B72" w:rsidR="001835EC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und Anwendung der betrieblichen EDV (Hard- und Software)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C402420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3B69786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EDFB67C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4768A5D6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5EC" w:rsidRPr="006D74AC" w14:paraId="189CEA9A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4B90E946" w14:textId="3B4463D0" w:rsidR="001835EC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Durchführen von administrativen Arbeiten mit Hilfe der betrieblichen Informations- und Kommunikationssysteme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520FAE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30333F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82AB1BC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8F13577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5EC" w:rsidRPr="006D74AC" w14:paraId="0B30AC76" w14:textId="77777777" w:rsidTr="00741D6C">
        <w:trPr>
          <w:trHeight w:val="569"/>
        </w:trPr>
        <w:tc>
          <w:tcPr>
            <w:tcW w:w="3323" w:type="pct"/>
            <w:shd w:val="clear" w:color="auto" w:fill="auto"/>
            <w:vAlign w:val="center"/>
          </w:tcPr>
          <w:p w14:paraId="68E4984A" w14:textId="7E646242" w:rsidR="001835EC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4B33BC1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083209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742B5B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7B022B8" w14:textId="77777777" w:rsidR="001835EC" w:rsidRPr="006D74AC" w:rsidRDefault="001835EC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EA4" w:rsidRPr="006D74AC" w14:paraId="38E68421" w14:textId="77777777" w:rsidTr="00741D6C">
        <w:trPr>
          <w:trHeight w:val="1361"/>
        </w:trPr>
        <w:tc>
          <w:tcPr>
            <w:tcW w:w="3323" w:type="pct"/>
            <w:shd w:val="clear" w:color="auto" w:fill="auto"/>
            <w:vAlign w:val="center"/>
          </w:tcPr>
          <w:p w14:paraId="76285604" w14:textId="0A720D10" w:rsidR="00060EA4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Die für den Lehrberuf relevanten Maßnahmen und Vorschriften zum Schutz der Umwelt: Grundkenntnisse der betrieblichen Maßnahmen zum sinnvollen Energieeinsatz im berufsrelevanten Arbeitsbereich; Grundkenntnisse der im berufsrelevanten Arbeitsbereich anfallenden Reststoffe und über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478D9E8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B4C55E6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A88305F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5B481DB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EA4" w:rsidRPr="006D74AC" w14:paraId="6F1B9DE2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6244993" w14:textId="5B21B463" w:rsidR="00060EA4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der einschlägigen Sicherheitsvorschriften und Normen sowie der einschlägigen Vorschriften zum Schutz des Lebens und der Gesundheit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92779A7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A72A8B4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BEBB3C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F21CF54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EA4" w:rsidRPr="006D74AC" w14:paraId="615C9C8F" w14:textId="77777777" w:rsidTr="00741D6C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4A3CF83A" w14:textId="6F1D891B" w:rsidR="00060EA4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der Erstversorgung bei betriebsspezifischen Arbeitsunfällen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00B9C65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7B8191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267E54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0C930AA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EA4" w:rsidRPr="006D74AC" w14:paraId="168934CB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46887167" w14:textId="46315F30" w:rsidR="00060EA4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B735727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E37219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9CF788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2D0FD11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60EA4" w:rsidRPr="006D74AC" w14:paraId="3DE278A7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6BB3C12" w14:textId="68CB4A07" w:rsidR="00060EA4" w:rsidRPr="00E436DA" w:rsidRDefault="00060EA4" w:rsidP="001835EC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 xml:space="preserve">Grundkenntnisse von arbeitsrechtlichen Gesetzen, insbesondere dem KJBG (samt KJBG-VO), dem ASchG und dem </w:t>
            </w:r>
            <w:proofErr w:type="spellStart"/>
            <w:r w:rsidRPr="00E436DA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</w:p>
        </w:tc>
        <w:tc>
          <w:tcPr>
            <w:tcW w:w="420" w:type="pct"/>
            <w:shd w:val="clear" w:color="auto" w:fill="auto"/>
            <w:vAlign w:val="center"/>
          </w:tcPr>
          <w:p w14:paraId="67FC5514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58D899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97A5AD9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5FBF492" w14:textId="77777777" w:rsidR="00060EA4" w:rsidRPr="006D74AC" w:rsidRDefault="00060EA4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6E45A8C" w14:textId="77777777" w:rsidTr="00741D6C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40F1537F" w14:textId="1C93B0FB" w:rsidR="00352A33" w:rsidRPr="00E436DA" w:rsidRDefault="00060EA4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436D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Kaufmännische Grundlagen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51D159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7D11AC4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98E94E8" w14:textId="1D751E75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AF9B16B" w14:textId="79ECB9DA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06C13EB1" w14:textId="77777777" w:rsidTr="00741D6C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61728ECA" w14:textId="77777777" w:rsidR="00352A33" w:rsidRPr="00E436DA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436D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2DCC4BC" w14:textId="77777777" w:rsidR="00352A33" w:rsidRPr="006D74AC" w:rsidRDefault="00352A33" w:rsidP="00741D6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A74229B" w14:textId="77777777" w:rsidR="00352A33" w:rsidRPr="006D74AC" w:rsidRDefault="00352A33" w:rsidP="00741D6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B89CDA2" w14:textId="311E3D8E" w:rsidR="00352A33" w:rsidRPr="006D74AC" w:rsidRDefault="00352A33" w:rsidP="00741D6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038383F0" w14:textId="5DF35828" w:rsidR="00352A33" w:rsidRPr="006D74AC" w:rsidRDefault="00352A33" w:rsidP="00741D6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6151E1B3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E8ECEEA" w14:textId="2BB30426" w:rsidR="00E436DA" w:rsidRPr="00E436DA" w:rsidRDefault="003E65FA" w:rsidP="00E436D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3E65FA">
              <w:rPr>
                <w:rFonts w:ascii="Cambria" w:hAnsi="Cambria"/>
                <w:sz w:val="20"/>
                <w:szCs w:val="20"/>
              </w:rPr>
              <w:t>Kenntnis der berufsspezifischen kaufmännischen Grundlagen (z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E65FA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3E65FA">
              <w:rPr>
                <w:rFonts w:ascii="Cambria" w:hAnsi="Cambria"/>
                <w:sz w:val="20"/>
                <w:szCs w:val="20"/>
              </w:rPr>
              <w:t xml:space="preserve"> Kalkulation, Anbot, Lieferung, Rechnung, verkaufsbezogene rechtliche Bestimmungen) einschließlich des Zahlungsverkehrs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7A4ACD8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879908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B7A165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DBAF4E7" w14:textId="50A2B2F1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8EC78E1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1D4C6F57" w14:textId="15D1388B" w:rsidR="00352A33" w:rsidRPr="00E436DA" w:rsidRDefault="00B03D93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B03D93">
              <w:rPr>
                <w:rFonts w:ascii="Cambria" w:hAnsi="Cambria"/>
                <w:sz w:val="20"/>
                <w:szCs w:val="16"/>
              </w:rPr>
              <w:t>Grundkenntnisse der betrieblichen Kosten, deren Beeinflussbarkeit und deren Auswirkungen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5811E2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1C51864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1FA9A28A" w14:textId="7BB74AFF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60124C7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12E613B4" w14:textId="7B0E0198" w:rsidR="00352A33" w:rsidRPr="00E436DA" w:rsidRDefault="00060EA4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der betrieblichen Kosten, deren Beeinflussbarkeit und deren Auswirkungen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F8E8A34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58AE01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2B12D36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5E40E42" w14:textId="414582A1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0C46EB2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24ECD26B" w14:textId="6360301C" w:rsidR="00352A33" w:rsidRPr="00E436DA" w:rsidRDefault="00060EA4" w:rsidP="00E436DA">
            <w:pPr>
              <w:pStyle w:val="Default"/>
              <w:rPr>
                <w:rFonts w:ascii="Cambria" w:hAnsi="Cambria"/>
                <w:szCs w:val="20"/>
              </w:rPr>
            </w:pPr>
            <w:r w:rsidRPr="00E436DA">
              <w:rPr>
                <w:rFonts w:ascii="Cambria" w:hAnsi="Cambria"/>
                <w:sz w:val="20"/>
                <w:szCs w:val="20"/>
              </w:rPr>
              <w:t>Kenntnis über Verhalten bei Reklamationen, Bearbeiten von Reklamationsfällen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C510A8B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0E4EC3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9235B37" w14:textId="77777777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261505BE" w14:textId="0220387A" w:rsidR="00352A33" w:rsidRPr="006D74AC" w:rsidRDefault="00352A33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7A9132D" w14:textId="7D9DAFE2" w:rsidR="00E436DA" w:rsidRDefault="00E436DA"/>
    <w:p w14:paraId="25717F51" w14:textId="77777777" w:rsidR="00E436DA" w:rsidRDefault="00E436DA">
      <w:pPr>
        <w:spacing w:before="0"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6D74AC" w14:paraId="53CE37CD" w14:textId="77777777" w:rsidTr="00741D6C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5AE717E3" w14:textId="216A792B" w:rsidR="00352A33" w:rsidRPr="00F37E40" w:rsidRDefault="00060EA4" w:rsidP="00352A33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F37E40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lastRenderedPageBreak/>
              <w:t>Fachliche Grundlagen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E8C445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625C400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9408CBE" w14:textId="702C3C43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FF7D28B" w14:textId="41D47669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 xml:space="preserve">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1B1F52EB" w14:textId="77777777" w:rsidTr="00741D6C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293F8E83" w14:textId="77777777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64B05AB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7252EF1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7B1E51F" w14:textId="6C10C1B6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13E2A24" w14:textId="0C641CCF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2A3A9C59" w14:textId="77777777" w:rsidTr="00741D6C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1BBCB693" w14:textId="39CFFF66" w:rsidR="00352A33" w:rsidRPr="00523C5D" w:rsidRDefault="00523C5D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523C5D">
              <w:rPr>
                <w:rFonts w:ascii="Cambria" w:hAnsi="Cambria"/>
                <w:sz w:val="20"/>
                <w:szCs w:val="20"/>
              </w:rPr>
              <w:t>Anwenden englischer Fachausdrücke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B4D788" w14:textId="77777777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1BD43BE" w14:textId="77777777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0E4D0D" w14:textId="77777777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C5C7775" w14:textId="7EAFD1BD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9581FDA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258CD7C1" w14:textId="06E2588B" w:rsidR="00352A33" w:rsidRPr="00523C5D" w:rsidRDefault="00523C5D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523C5D">
              <w:rPr>
                <w:rFonts w:ascii="Cambria" w:hAnsi="Cambria"/>
                <w:sz w:val="20"/>
                <w:szCs w:val="20"/>
              </w:rPr>
              <w:t xml:space="preserve">Lesen und Anwenden technischer Unterlagen auch in englischer Sprache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73DBD4A" w14:textId="77777777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937FE0" w14:textId="77777777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798706" w14:textId="77777777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591F3C4" w14:textId="51AEBC45" w:rsidR="00352A33" w:rsidRPr="00523C5D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6D74AC" w14:paraId="74739201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05E61EE0" w14:textId="5832CDD1" w:rsidR="00523C5D" w:rsidRPr="00315CAF" w:rsidRDefault="00523C5D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523C5D">
              <w:rPr>
                <w:rFonts w:ascii="Cambria" w:hAnsi="Cambria"/>
                <w:sz w:val="20"/>
                <w:szCs w:val="20"/>
              </w:rPr>
              <w:t>Kenntnis der berufsspezifischen rechtlichen Grundlagen (z</w:t>
            </w:r>
            <w:r w:rsidR="00F37E4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23C5D">
              <w:rPr>
                <w:rFonts w:ascii="Cambria" w:hAnsi="Cambria"/>
                <w:sz w:val="20"/>
                <w:szCs w:val="20"/>
              </w:rPr>
              <w:t>B</w:t>
            </w:r>
            <w:r w:rsidR="00F37E40">
              <w:rPr>
                <w:rFonts w:ascii="Cambria" w:hAnsi="Cambria"/>
                <w:sz w:val="20"/>
                <w:szCs w:val="20"/>
              </w:rPr>
              <w:t>.</w:t>
            </w:r>
            <w:r w:rsidRPr="00523C5D">
              <w:rPr>
                <w:rFonts w:ascii="Cambria" w:hAnsi="Cambria"/>
                <w:sz w:val="20"/>
                <w:szCs w:val="20"/>
              </w:rPr>
              <w:t xml:space="preserve"> Datenschutz, Lizenzen, Normen, Gewährleistung, Garantie, Schadenersatz, Urheberrecht, E-Commerce-Recht)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83B18A4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2D3E4B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BBA09B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10D4097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6D74AC" w14:paraId="3D9AB5FA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730305C6" w14:textId="50737085" w:rsidR="00523C5D" w:rsidRPr="00523C5D" w:rsidRDefault="00523C5D" w:rsidP="00523C5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23C5D">
              <w:rPr>
                <w:rFonts w:ascii="Cambria" w:hAnsi="Cambria"/>
                <w:sz w:val="20"/>
                <w:szCs w:val="20"/>
              </w:rPr>
              <w:t xml:space="preserve">Kenntnis des Hard- und Software-Produktmarktes sowie der Kompatibilität der Produkte untereinander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016FCB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02AAA1F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FCD25E7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0C33E311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6D74AC" w14:paraId="2746777E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BA9B5F3" w14:textId="628E745E" w:rsidR="00523C5D" w:rsidRPr="00523C5D" w:rsidRDefault="00523C5D" w:rsidP="00523C5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23C5D">
              <w:rPr>
                <w:rFonts w:ascii="Cambria" w:hAnsi="Cambria"/>
                <w:sz w:val="20"/>
                <w:szCs w:val="20"/>
              </w:rPr>
              <w:t>Informieren über neue Produkttrends durch Recherchen (z</w:t>
            </w:r>
            <w:r w:rsidR="0098121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23C5D">
              <w:rPr>
                <w:rFonts w:ascii="Cambria" w:hAnsi="Cambria"/>
                <w:sz w:val="20"/>
                <w:szCs w:val="20"/>
              </w:rPr>
              <w:t>B</w:t>
            </w:r>
            <w:r w:rsidR="0098121A">
              <w:rPr>
                <w:rFonts w:ascii="Cambria" w:hAnsi="Cambria"/>
                <w:sz w:val="20"/>
                <w:szCs w:val="20"/>
              </w:rPr>
              <w:t>.</w:t>
            </w:r>
            <w:r w:rsidRPr="00523C5D">
              <w:rPr>
                <w:rFonts w:ascii="Cambria" w:hAnsi="Cambria"/>
                <w:sz w:val="20"/>
                <w:szCs w:val="20"/>
              </w:rPr>
              <w:t xml:space="preserve"> Internet, Fachliteratur, Messebesuche)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B62543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EC04A18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1E72A86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C572C2D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6D74AC" w14:paraId="7D4F12A1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095ECD2B" w14:textId="4206FCB5" w:rsidR="00523C5D" w:rsidRPr="00315CAF" w:rsidRDefault="00523C5D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523C5D">
              <w:rPr>
                <w:rFonts w:ascii="Cambria" w:hAnsi="Cambria"/>
                <w:sz w:val="20"/>
                <w:szCs w:val="20"/>
              </w:rPr>
              <w:t xml:space="preserve">Kenntnis der Möglichkeiten des Datenaustausches, der Formate und Strukturen der Austausch-daten sowie des Schnittstellenmanagements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4F19DCD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43F7746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CF7BF0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FD29946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3C5D" w:rsidRPr="006D74AC" w14:paraId="5BCCA21B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7EBA1DA6" w14:textId="65BB2E67" w:rsidR="00523C5D" w:rsidRPr="00315CAF" w:rsidRDefault="00523C5D" w:rsidP="00523C5D">
            <w:pPr>
              <w:pStyle w:val="Default"/>
              <w:rPr>
                <w:rFonts w:ascii="Cambria" w:hAnsi="Cambria"/>
                <w:szCs w:val="20"/>
              </w:rPr>
            </w:pPr>
            <w:r w:rsidRPr="00523C5D">
              <w:rPr>
                <w:rFonts w:ascii="Cambria" w:hAnsi="Cambria"/>
                <w:sz w:val="20"/>
                <w:szCs w:val="20"/>
              </w:rPr>
              <w:t>Kenntnis der Funktionsweise, Möglichkeiten (z</w:t>
            </w:r>
            <w:r w:rsidR="00883AE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23C5D">
              <w:rPr>
                <w:rFonts w:ascii="Cambria" w:hAnsi="Cambria"/>
                <w:sz w:val="20"/>
                <w:szCs w:val="20"/>
              </w:rPr>
              <w:t>B</w:t>
            </w:r>
            <w:r w:rsidR="00883AE1">
              <w:rPr>
                <w:rFonts w:ascii="Cambria" w:hAnsi="Cambria"/>
                <w:sz w:val="20"/>
                <w:szCs w:val="20"/>
              </w:rPr>
              <w:t>.</w:t>
            </w:r>
            <w:r w:rsidRPr="00523C5D">
              <w:rPr>
                <w:rFonts w:ascii="Cambria" w:hAnsi="Cambria"/>
                <w:sz w:val="20"/>
                <w:szCs w:val="20"/>
              </w:rPr>
              <w:t xml:space="preserve"> Hosting-Lösungen), Vorteile und Risiken von Cloud-Lösungen sowie der Voraussetzungen zu deren Nutzung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5106576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1138F6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C2E7B8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C405A14" w14:textId="77777777" w:rsidR="00523C5D" w:rsidRPr="00523C5D" w:rsidRDefault="00523C5D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45DBD61C" w14:textId="77777777" w:rsidTr="00741D6C">
        <w:trPr>
          <w:trHeight w:hRule="exact" w:val="1474"/>
        </w:trPr>
        <w:tc>
          <w:tcPr>
            <w:tcW w:w="3323" w:type="pct"/>
            <w:shd w:val="clear" w:color="auto" w:fill="354E19"/>
            <w:vAlign w:val="center"/>
          </w:tcPr>
          <w:p w14:paraId="34CAAE43" w14:textId="1D534E66" w:rsidR="00352A33" w:rsidRPr="00523C5D" w:rsidRDefault="00523C5D" w:rsidP="00352A33">
            <w:pPr>
              <w:spacing w:before="40" w:after="40"/>
              <w:rPr>
                <w:color w:val="FFFFFF" w:themeColor="background1"/>
                <w:sz w:val="22"/>
              </w:rPr>
            </w:pPr>
            <w:r w:rsidRPr="00315CAF">
              <w:rPr>
                <w:b/>
                <w:bCs/>
                <w:color w:val="FFFFFF" w:themeColor="background1"/>
                <w:sz w:val="22"/>
              </w:rPr>
              <w:t xml:space="preserve">Fachübergreifende Ausbildung (Schlüsselqualifikationen) </w:t>
            </w:r>
            <w:r w:rsidRPr="00B47261">
              <w:rPr>
                <w:color w:val="FFFFFF" w:themeColor="background1"/>
                <w:sz w:val="22"/>
              </w:rPr>
              <w:t>In der</w:t>
            </w:r>
            <w:r w:rsidRPr="00315CAF">
              <w:rPr>
                <w:b/>
                <w:bCs/>
                <w:color w:val="FFFFFF" w:themeColor="background1"/>
                <w:sz w:val="22"/>
              </w:rPr>
              <w:t xml:space="preserve"> Art der Vermittlung </w:t>
            </w:r>
            <w:r w:rsidRPr="00B47261">
              <w:rPr>
                <w:color w:val="FFFFFF" w:themeColor="background1"/>
                <w:sz w:val="22"/>
              </w:rPr>
              <w:t>der fachlichen Kenntnisse und Fertigkeiten ist auf die Förderung folgender fachübergreifender Kompetenzen des Lehrlings Bedacht zu nehmen: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E8BFF6E" w14:textId="77777777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3C5D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523C5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3C5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BD2F68D" w14:textId="77777777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3C5D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523C5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3C5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5A8BE44" w14:textId="59E44832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3C5D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523C5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3C5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6BB46DD6" w14:textId="00C9BA3C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523C5D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523C5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523C5D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2A33" w:rsidRPr="006D74AC" w14:paraId="4CAF9587" w14:textId="77777777" w:rsidTr="00741D6C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1DB1D986" w14:textId="77777777" w:rsidR="00352A33" w:rsidRPr="00523C5D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23C5D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AF2ABFE" w14:textId="77777777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3C5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ABCFF98" w14:textId="77777777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3C5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B9632FF" w14:textId="25B2815B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3C5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236234D" w14:textId="65983781" w:rsidR="00352A33" w:rsidRPr="00523C5D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23C5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1E7968" w14:paraId="17FB168E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0708476B" w14:textId="7B85C358" w:rsidR="00352A33" w:rsidRPr="001E7968" w:rsidRDefault="00B12598" w:rsidP="00B1259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>Methodenkompetenz: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z</w:t>
            </w:r>
            <w:r w:rsidR="007C15C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E7968">
              <w:rPr>
                <w:rFonts w:ascii="Cambria" w:hAnsi="Cambria"/>
                <w:sz w:val="20"/>
                <w:szCs w:val="20"/>
              </w:rPr>
              <w:t>B</w:t>
            </w:r>
            <w:r w:rsidR="007C15C4">
              <w:rPr>
                <w:rFonts w:ascii="Cambria" w:hAnsi="Cambria"/>
                <w:sz w:val="20"/>
                <w:szCs w:val="20"/>
              </w:rPr>
              <w:t>.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etc.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A89282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097FBC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6EC79A4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223D9F8" w14:textId="6C2F2006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1E7968" w14:paraId="503DBB46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169CF757" w14:textId="2DF80161" w:rsidR="00352A33" w:rsidRPr="001E7968" w:rsidRDefault="00B12598" w:rsidP="00B1259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Kompetenz: </w:t>
            </w:r>
            <w:r w:rsidR="00004DBD" w:rsidRPr="001E7968">
              <w:rPr>
                <w:rFonts w:ascii="Cambria" w:hAnsi="Cambria"/>
                <w:sz w:val="20"/>
                <w:szCs w:val="20"/>
              </w:rPr>
              <w:t>z</w:t>
            </w:r>
            <w:r w:rsidR="00004DBD">
              <w:rPr>
                <w:rFonts w:ascii="Cambria" w:hAnsi="Cambria"/>
                <w:sz w:val="20"/>
                <w:szCs w:val="20"/>
              </w:rPr>
              <w:t>. B.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in Teams arbeiten, Mitarbeiter/innen führen etc.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C98F76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9166F4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1EF847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49B40D6" w14:textId="19038556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1E7968" w14:paraId="2022FD6A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B4645F7" w14:textId="386E4BBC" w:rsidR="00352A33" w:rsidRPr="001E7968" w:rsidRDefault="00B12598" w:rsidP="00B1259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>Personale Kompetenz</w:t>
            </w:r>
            <w:r w:rsidR="001E7968" w:rsidRPr="001E7968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1E7968">
              <w:rPr>
                <w:rFonts w:ascii="Cambria" w:hAnsi="Cambria"/>
                <w:sz w:val="20"/>
                <w:szCs w:val="20"/>
              </w:rPr>
              <w:t>z</w:t>
            </w:r>
            <w:r w:rsidR="00004DBD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E7968">
              <w:rPr>
                <w:rFonts w:ascii="Cambria" w:hAnsi="Cambria"/>
                <w:sz w:val="20"/>
                <w:szCs w:val="20"/>
              </w:rPr>
              <w:t>B</w:t>
            </w:r>
            <w:r w:rsidR="00004DBD">
              <w:rPr>
                <w:rFonts w:ascii="Cambria" w:hAnsi="Cambria"/>
                <w:sz w:val="20"/>
                <w:szCs w:val="20"/>
              </w:rPr>
              <w:t>.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etc.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F71742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F4402A2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3CBE2F" w14:textId="77777777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D2ED656" w14:textId="3A2792EF" w:rsidR="00352A33" w:rsidRPr="001E7968" w:rsidRDefault="00352A33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12598" w:rsidRPr="001E7968" w14:paraId="3BD1A766" w14:textId="77777777" w:rsidTr="00741D6C">
        <w:trPr>
          <w:trHeight w:val="794"/>
        </w:trPr>
        <w:tc>
          <w:tcPr>
            <w:tcW w:w="3323" w:type="pct"/>
            <w:shd w:val="clear" w:color="auto" w:fill="auto"/>
            <w:vAlign w:val="center"/>
          </w:tcPr>
          <w:p w14:paraId="2CF250DB" w14:textId="341F8750" w:rsidR="00B12598" w:rsidRPr="001E7968" w:rsidRDefault="00B12598" w:rsidP="00B12598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>Kommunikative Kompetenz</w:t>
            </w:r>
            <w:r w:rsidR="001E7968" w:rsidRPr="001E7968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1E7968">
              <w:rPr>
                <w:rFonts w:ascii="Cambria" w:hAnsi="Cambria"/>
                <w:sz w:val="20"/>
                <w:szCs w:val="20"/>
              </w:rPr>
              <w:t>z</w:t>
            </w:r>
            <w:r w:rsidR="00004DBD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E7968">
              <w:rPr>
                <w:rFonts w:ascii="Cambria" w:hAnsi="Cambria"/>
                <w:sz w:val="20"/>
                <w:szCs w:val="20"/>
              </w:rPr>
              <w:t>B</w:t>
            </w:r>
            <w:r w:rsidR="00004DBD">
              <w:rPr>
                <w:rFonts w:ascii="Cambria" w:hAnsi="Cambria"/>
                <w:sz w:val="20"/>
                <w:szCs w:val="20"/>
              </w:rPr>
              <w:t>.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</w:t>
            </w:r>
            <w:r w:rsidR="00402C81">
              <w:rPr>
                <w:rFonts w:ascii="Cambria" w:hAnsi="Cambria"/>
                <w:sz w:val="20"/>
                <w:szCs w:val="20"/>
              </w:rPr>
              <w:t>c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hem Niveau zum Bestreiten von Alltags- und Fachgesprächen beherrschen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14A85D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8BEA94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B2EDBA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3570118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12598" w:rsidRPr="001E7968" w14:paraId="2BDF7011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EB082E1" w14:textId="2A015A2E" w:rsidR="00B12598" w:rsidRPr="001E7968" w:rsidRDefault="00B12598" w:rsidP="00B12598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>Arbeitsgrundsätze</w:t>
            </w:r>
            <w:r w:rsidR="001E7968" w:rsidRPr="001E7968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1E7968">
              <w:rPr>
                <w:rFonts w:ascii="Cambria" w:hAnsi="Cambria"/>
                <w:sz w:val="20"/>
                <w:szCs w:val="20"/>
              </w:rPr>
              <w:t>z</w:t>
            </w:r>
            <w:r w:rsidR="00812B9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E7968">
              <w:rPr>
                <w:rFonts w:ascii="Cambria" w:hAnsi="Cambria"/>
                <w:sz w:val="20"/>
                <w:szCs w:val="20"/>
              </w:rPr>
              <w:t>B</w:t>
            </w:r>
            <w:r w:rsidR="00812B9B">
              <w:rPr>
                <w:rFonts w:ascii="Cambria" w:hAnsi="Cambria"/>
                <w:sz w:val="20"/>
                <w:szCs w:val="20"/>
              </w:rPr>
              <w:t>.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Sorgfalt, Zuverlässigkeit,</w:t>
            </w:r>
            <w:r w:rsidR="00741D6C">
              <w:rPr>
                <w:rFonts w:ascii="Cambria" w:hAnsi="Cambria"/>
                <w:sz w:val="20"/>
                <w:szCs w:val="20"/>
              </w:rPr>
              <w:br/>
            </w:r>
            <w:r w:rsidRPr="001E7968">
              <w:rPr>
                <w:rFonts w:ascii="Cambria" w:hAnsi="Cambria"/>
                <w:sz w:val="20"/>
                <w:szCs w:val="20"/>
              </w:rPr>
              <w:t>Verantwortungsbewusstsein, Pünktlichkeit etc.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99CA74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AF8A062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F2D73B7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DBD2274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12598" w:rsidRPr="001E7968" w14:paraId="3B38B650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7ED8E2C2" w14:textId="42E023A8" w:rsidR="00B12598" w:rsidRPr="001E7968" w:rsidRDefault="00B12598" w:rsidP="00B12598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E7968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1802A5B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E5C4E5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5BF44E1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5C254B6" w14:textId="77777777" w:rsidR="00B12598" w:rsidRPr="001E7968" w:rsidRDefault="00B1259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Pr="001E7968" w:rsidRDefault="00843980" w:rsidP="00843980">
      <w:r w:rsidRPr="001E7968"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8"/>
        <w:gridCol w:w="778"/>
        <w:gridCol w:w="778"/>
        <w:gridCol w:w="778"/>
        <w:gridCol w:w="776"/>
      </w:tblGrid>
      <w:tr w:rsidR="00F02485" w:rsidRPr="001E7968" w14:paraId="13315AC1" w14:textId="77777777" w:rsidTr="00741D6C">
        <w:trPr>
          <w:trHeight w:hRule="exact" w:val="454"/>
        </w:trPr>
        <w:tc>
          <w:tcPr>
            <w:tcW w:w="3325" w:type="pct"/>
            <w:shd w:val="clear" w:color="auto" w:fill="354E19"/>
            <w:vAlign w:val="center"/>
          </w:tcPr>
          <w:p w14:paraId="56BFF98B" w14:textId="1F70ACED" w:rsidR="00F02485" w:rsidRPr="001E7968" w:rsidRDefault="00B12598" w:rsidP="00F02485">
            <w:pPr>
              <w:spacing w:before="40" w:after="40"/>
              <w:rPr>
                <w:szCs w:val="20"/>
              </w:rPr>
            </w:pPr>
            <w:r w:rsidRPr="001E7968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Applikationen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1DD54056" w14:textId="77777777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E7968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E796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E796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1911D9DE" w14:textId="77777777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E7968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E796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E796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6F606319" w14:textId="773F97CB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E7968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E796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E7968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5CDFDD15" w14:textId="09D90B36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E7968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1E7968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E7968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02485" w:rsidRPr="001E7968" w14:paraId="0E3BF146" w14:textId="77777777" w:rsidTr="00741D6C">
        <w:trPr>
          <w:trHeight w:hRule="exact" w:val="397"/>
        </w:trPr>
        <w:tc>
          <w:tcPr>
            <w:tcW w:w="3325" w:type="pct"/>
            <w:shd w:val="clear" w:color="auto" w:fill="BFBFBF"/>
            <w:vAlign w:val="center"/>
          </w:tcPr>
          <w:p w14:paraId="677355B5" w14:textId="77777777" w:rsidR="00F02485" w:rsidRPr="001E7968" w:rsidRDefault="00F02485" w:rsidP="00F0248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E7968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4EABF86A" w14:textId="77777777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E79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3665D76B" w14:textId="77777777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E79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609A5653" w14:textId="5DAF4838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E79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7C0606B3" w14:textId="5FC696F6" w:rsidR="00F02485" w:rsidRPr="001E7968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E7968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2485" w:rsidRPr="001E7968" w14:paraId="3D16704B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2CA3C1CE" w14:textId="10ED671D" w:rsidR="00F02485" w:rsidRPr="001E7968" w:rsidRDefault="00B12598" w:rsidP="00B1259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Kenntnis des prinzipiellen Aufbaus und der Arbeitsweise von Computersystemen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14EB83B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3FE7258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94E4829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3757BAD" w14:textId="1BEE8AC4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1E7968" w14:paraId="3A7157AE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20DEBBEC" w14:textId="7E997330" w:rsidR="00F02485" w:rsidRPr="001E7968" w:rsidRDefault="00B12598" w:rsidP="00B1259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Kenntnis von Programmiersprachen, deren Anwendungsmöglichkeiten und Grenzen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BDC1BF0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287970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3475EB11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9C7A0D1" w14:textId="3B332742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1E7968" w14:paraId="669E9794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293D7B50" w14:textId="5FE4E65B" w:rsidR="00F02485" w:rsidRPr="001E7968" w:rsidRDefault="00B12598" w:rsidP="00B1259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Kenntnis der Abläufe und Prozessschritte um mit den Kunden/Kundinnen die Zielsetzung und damit die Anforderungen und Rahmenbedingungen (wie z</w:t>
            </w:r>
            <w:r w:rsidR="002B658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E7968">
              <w:rPr>
                <w:rFonts w:ascii="Cambria" w:hAnsi="Cambria"/>
                <w:sz w:val="20"/>
                <w:szCs w:val="20"/>
              </w:rPr>
              <w:t>B</w:t>
            </w:r>
            <w:r w:rsidR="002B6581">
              <w:rPr>
                <w:rFonts w:ascii="Cambria" w:hAnsi="Cambria"/>
                <w:sz w:val="20"/>
                <w:szCs w:val="20"/>
              </w:rPr>
              <w:t>.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Ergonomie, Einschränkungen wie Datensicherheit, Zugriffsregelungen, Zeitvorstellungen) zur Erstellung von Applikationen zu erarbeiten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6B08261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C86A6AB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487A0EB1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4B4C962" w14:textId="2AC7A7B8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1E7968" w14:paraId="3F912A7B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6D2A06F1" w14:textId="6B661CE1" w:rsidR="00F02485" w:rsidRPr="001E7968" w:rsidRDefault="001E7968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Mitwirken beim Definieren der Ziele und beim Erarbeiten der Systemanforderungen (unter Berücksichtigung unterschiedlicher Endgeräte, Benutzerfreundlichkeit, Barrierefreiheit, Nutzen, Kosten, möglicher Probleme) der Kunden und Kundinnen inklusive geeigneter Abnahmekriterien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0594743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C0F849E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46BCB566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A5F92D7" w14:textId="0D9275C5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1E7968" w14:paraId="1BD41744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3F178B92" w14:textId="476ECC30" w:rsidR="00F02485" w:rsidRPr="001E7968" w:rsidRDefault="001E7968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Definieren der Ziele und Erarbeiten der Systemanforderungen (unter Berücksichtigung unterschiedlicher Endgeräte, Benutzer-freundlichkeit, Barrierefreiheit, Nutzen, Kosten, möglicher Probleme) der Kunden und Kundinnen inklusive geeigneter Abnahmekriterien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552468B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069088E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584194B" w14:textId="77777777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87A030F" w14:textId="5087D1AF" w:rsidR="00F02485" w:rsidRPr="001E7968" w:rsidRDefault="00F02485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968" w:rsidRPr="001E7968" w14:paraId="7B85DAD4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089D6F1C" w14:textId="009C2F5F" w:rsidR="001E7968" w:rsidRPr="001E7968" w:rsidRDefault="001E7968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Mitwirken beim Beraten der Kunden und Kundinnen bezüglich der möglichen Ausführungsvarianten unter anderem mittels agiler Methoden zur Berücksichtigung von Änderungswün</w:t>
            </w:r>
            <w:r w:rsidR="00402C81">
              <w:rPr>
                <w:rFonts w:ascii="Cambria" w:hAnsi="Cambria"/>
                <w:sz w:val="20"/>
                <w:szCs w:val="20"/>
              </w:rPr>
              <w:t>s</w:t>
            </w:r>
            <w:r w:rsidRPr="001E7968">
              <w:rPr>
                <w:rFonts w:ascii="Cambria" w:hAnsi="Cambria"/>
                <w:sz w:val="20"/>
                <w:szCs w:val="20"/>
              </w:rPr>
              <w:t>chen der Kunden und Kundinnen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ABC43BD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37F76D6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BFECD08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90C64DA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968" w:rsidRPr="001E7968" w14:paraId="387AAEB8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37193E63" w14:textId="02D21280" w:rsidR="001E7968" w:rsidRPr="001E7968" w:rsidRDefault="001E7968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Beraten der Kunden und Kundinnen bezüglich der möglichen Ausführungsvarianten unter anderem mittels agiler Methoden zur Berücksichtigung von Änderungswünschen der Kunden und Kundinnen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E7B1A27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3A7413B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27E3FF6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0689DCE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968" w:rsidRPr="001E7968" w14:paraId="27F43F6B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78C9F222" w14:textId="501C7AD0" w:rsidR="001E7968" w:rsidRPr="001E7968" w:rsidRDefault="001E7968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>Kenntnis des Entwickelns von Applikationen (unter Berücksichtigung der Ergonomie, Anwenderfreundlichkeit, firmeninterner Entwicklungsstandards, effizienter Programmabläufe, Code-konventionen) unter Anwendung geeigneter Vorgehensmodelle (z</w:t>
            </w:r>
            <w:r w:rsidR="003631F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E7968">
              <w:rPr>
                <w:rFonts w:ascii="Cambria" w:hAnsi="Cambria"/>
                <w:sz w:val="20"/>
                <w:szCs w:val="20"/>
              </w:rPr>
              <w:t>B</w:t>
            </w:r>
            <w:r w:rsidR="003631FA">
              <w:rPr>
                <w:rFonts w:ascii="Cambria" w:hAnsi="Cambria"/>
                <w:sz w:val="20"/>
                <w:szCs w:val="20"/>
              </w:rPr>
              <w:t>.</w:t>
            </w:r>
            <w:r w:rsidRPr="001E7968">
              <w:rPr>
                <w:rFonts w:ascii="Cambria" w:hAnsi="Cambria"/>
                <w:sz w:val="20"/>
                <w:szCs w:val="20"/>
              </w:rPr>
              <w:t xml:space="preserve"> agile Methoden, </w:t>
            </w:r>
            <w:proofErr w:type="spellStart"/>
            <w:r w:rsidRPr="001E7968">
              <w:rPr>
                <w:rFonts w:ascii="Cambria" w:hAnsi="Cambria"/>
                <w:sz w:val="20"/>
                <w:szCs w:val="20"/>
              </w:rPr>
              <w:t>DevOps</w:t>
            </w:r>
            <w:proofErr w:type="spellEnd"/>
            <w:r w:rsidRPr="001E7968">
              <w:rPr>
                <w:rFonts w:ascii="Cambria" w:hAnsi="Cambria"/>
                <w:sz w:val="20"/>
                <w:szCs w:val="20"/>
              </w:rPr>
              <w:t>, Wasserfallmodell)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65AFDFB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BCE7B4D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B5CE8DA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65DCFA9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968" w:rsidRPr="001E7968" w14:paraId="09F2FB5F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3FE8B25D" w14:textId="6FA05962" w:rsidR="001E7968" w:rsidRPr="001E7968" w:rsidRDefault="001E7968" w:rsidP="001E796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 xml:space="preserve">Kenntnis von </w:t>
            </w:r>
            <w:proofErr w:type="spellStart"/>
            <w:r w:rsidRPr="001E7968">
              <w:rPr>
                <w:rFonts w:ascii="Cambria" w:hAnsi="Cambria"/>
                <w:sz w:val="20"/>
                <w:szCs w:val="20"/>
              </w:rPr>
              <w:t>Versionierungssystemen</w:t>
            </w:r>
            <w:proofErr w:type="spellEnd"/>
            <w:r w:rsidRPr="001E7968">
              <w:rPr>
                <w:rFonts w:ascii="Cambria" w:hAnsi="Cambria"/>
                <w:sz w:val="20"/>
                <w:szCs w:val="20"/>
              </w:rPr>
              <w:t xml:space="preserve"> (zentrale und verteilte Systeme)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D0F7679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540D959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3DEF98F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C18AEB3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968" w:rsidRPr="001E7968" w14:paraId="612F60D1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2E114059" w14:textId="7591F1B2" w:rsidR="001E7968" w:rsidRPr="001E7968" w:rsidRDefault="001E7968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 xml:space="preserve">Mitwirken beim An-wenden von betrieblichen </w:t>
            </w:r>
            <w:proofErr w:type="spellStart"/>
            <w:r w:rsidRPr="001E7968">
              <w:rPr>
                <w:rFonts w:ascii="Cambria" w:hAnsi="Cambria"/>
                <w:sz w:val="20"/>
                <w:szCs w:val="20"/>
              </w:rPr>
              <w:t>Versionierungssystemen</w:t>
            </w:r>
            <w:proofErr w:type="spellEnd"/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6DE563E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A9F8666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4F3FD40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F476661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968" w:rsidRPr="001E7968" w14:paraId="026D8C70" w14:textId="77777777" w:rsidTr="00741D6C">
        <w:trPr>
          <w:trHeight w:val="397"/>
        </w:trPr>
        <w:tc>
          <w:tcPr>
            <w:tcW w:w="3325" w:type="pct"/>
            <w:shd w:val="clear" w:color="auto" w:fill="auto"/>
            <w:vAlign w:val="center"/>
          </w:tcPr>
          <w:p w14:paraId="756A6E05" w14:textId="7AF2257C" w:rsidR="001E7968" w:rsidRPr="001E7968" w:rsidRDefault="001E7968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1E7968">
              <w:rPr>
                <w:rFonts w:ascii="Cambria" w:hAnsi="Cambria"/>
                <w:sz w:val="20"/>
                <w:szCs w:val="20"/>
              </w:rPr>
              <w:t xml:space="preserve">Anwenden von betrieblichen </w:t>
            </w:r>
            <w:proofErr w:type="spellStart"/>
            <w:r w:rsidRPr="001E7968">
              <w:rPr>
                <w:rFonts w:ascii="Cambria" w:hAnsi="Cambria"/>
                <w:sz w:val="20"/>
                <w:szCs w:val="20"/>
              </w:rPr>
              <w:t>Versionierungssystemen</w:t>
            </w:r>
            <w:proofErr w:type="spellEnd"/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F0BBABE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007C77D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57CF6A7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60F4241" w14:textId="77777777" w:rsidR="001E7968" w:rsidRPr="001E7968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E7968" w:rsidRPr="001E7968" w14:paraId="6418FBAA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60230571" w14:textId="50E6F9E1" w:rsidR="001E7968" w:rsidRPr="0096501F" w:rsidRDefault="0096501F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96501F">
              <w:rPr>
                <w:rFonts w:ascii="Cambria" w:hAnsi="Cambria"/>
                <w:sz w:val="20"/>
                <w:szCs w:val="20"/>
              </w:rPr>
              <w:t xml:space="preserve">Programmieren/Codieren einfacher Applikationen oder Applikationsteilen unter Berücksichtigung späterer Änderbarkeit, Erweiterbarkeit, Benutzbarkeit, Effizienz, Fehlerbehandelbarkeit, Wartbarkeit, von Datenschutzbedürfnissen und Lizenzregeln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A949745" w14:textId="77777777" w:rsidR="001E7968" w:rsidRPr="0096501F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17BF606" w14:textId="77777777" w:rsidR="001E7968" w:rsidRPr="0096501F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B9A3AB8" w14:textId="77777777" w:rsidR="001E7968" w:rsidRPr="0096501F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6CB661C" w14:textId="77777777" w:rsidR="001E7968" w:rsidRPr="0096501F" w:rsidRDefault="001E7968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7F805D39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1C0FCB51" w14:textId="3694EE93" w:rsidR="0096501F" w:rsidRPr="00C52CCC" w:rsidRDefault="0096501F" w:rsidP="0096501F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Kenntnis der Abläufe und Prozessschritte zum Testen von Applikationen (Erstellen eines Test-konzepts, Einsetzen unterschiedlicher Testmethoden, systematisches Testen, Sichern der Qualität)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F7A963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C29EEF7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FC155D0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70615D5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4118D344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112DA061" w14:textId="0A913FDE" w:rsidR="0096501F" w:rsidRPr="00C52CCC" w:rsidRDefault="0096501F" w:rsidP="0096501F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Mitwirken beim Erarbeiten von Konzepten zur Auswahl von Testmethoden für eine effiziente Entwicklung von neuen Applikationen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E6E761E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EB61E50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BB5AC7D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3A737EB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4CB25CB6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5FA38B9C" w14:textId="014BDF8D" w:rsidR="0096501F" w:rsidRPr="00C52CCC" w:rsidRDefault="0096501F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Erarbeiten von Konzepten zur Auswahl von Testmethoden für eine effiziente Entwicklung von neuen Applikationen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02FD65C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63F567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6E52BA3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C7D139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5E30E02" w14:textId="329D4AE1" w:rsidR="00741D6C" w:rsidRDefault="00741D6C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8"/>
        <w:gridCol w:w="778"/>
        <w:gridCol w:w="778"/>
        <w:gridCol w:w="778"/>
        <w:gridCol w:w="776"/>
      </w:tblGrid>
      <w:tr w:rsidR="0096501F" w:rsidRPr="001E7968" w14:paraId="775B81CA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1B31E3EE" w14:textId="374E1983" w:rsidR="0096501F" w:rsidRPr="00C52CCC" w:rsidRDefault="0096501F" w:rsidP="001E7968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lastRenderedPageBreak/>
              <w:t xml:space="preserve">Mitwirken beim Implementieren von Testmethoden und Ausführen von Tests (inklusive Beschaffen von Testdaten, Erstellen von Test-fällen, Sicherstellen, dass alle Funktionen getestet werden) sowie beim Dokumentieren der Testergebnisse in einem Testprotokoll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401D48F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35446D82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D29DBDC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9E45346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1F8E226F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0C5C2FDD" w14:textId="3ECC02FE" w:rsidR="0096501F" w:rsidRPr="00C52CCC" w:rsidRDefault="0096501F" w:rsidP="0096501F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Implementieren von Testmethoden und Ausführen von Tests (inklusive Beschaffen von Testdaten, Erstellen von Testfällen, Sicherstellen, dass alle Funktionen getestet werden) sowie Dokumentieren der Test-ergebnisse in einem Testprotokoll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7A4FA31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F1EF987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2576DB7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F18A566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0ED61EAA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4F19BC92" w14:textId="339B9640" w:rsidR="0096501F" w:rsidRPr="00C52CCC" w:rsidRDefault="0096501F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Mitwirken beim Beurteilen der Testergebnisse und beim Ableiten von Maßnahmen im Anlassfall (z</w:t>
            </w:r>
            <w:r w:rsidR="00BB63D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52CCC">
              <w:rPr>
                <w:rFonts w:ascii="Cambria" w:hAnsi="Cambria"/>
                <w:sz w:val="20"/>
                <w:szCs w:val="20"/>
              </w:rPr>
              <w:t>B</w:t>
            </w:r>
            <w:r w:rsidR="00BB63D8">
              <w:rPr>
                <w:rFonts w:ascii="Cambria" w:hAnsi="Cambria"/>
                <w:sz w:val="20"/>
                <w:szCs w:val="20"/>
              </w:rPr>
              <w:t>.</w:t>
            </w:r>
            <w:r w:rsidRPr="00C52CCC">
              <w:rPr>
                <w:rFonts w:ascii="Cambria" w:hAnsi="Cambria"/>
                <w:sz w:val="20"/>
                <w:szCs w:val="20"/>
              </w:rPr>
              <w:t xml:space="preserve"> Fehlerbehebung)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9640B3A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E0F6FE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1450E32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13E51D5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16742E64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4C24B292" w14:textId="1C4C8661" w:rsidR="0096501F" w:rsidRPr="00C52CCC" w:rsidRDefault="0096501F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Beurteilen der Testergebnisse und Ableiten von Maßnahmen im Anlassfall (z</w:t>
            </w:r>
            <w:r w:rsidR="004956C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52CCC">
              <w:rPr>
                <w:rFonts w:ascii="Cambria" w:hAnsi="Cambria"/>
                <w:sz w:val="20"/>
                <w:szCs w:val="20"/>
              </w:rPr>
              <w:t>B</w:t>
            </w:r>
            <w:r w:rsidR="004956C7">
              <w:rPr>
                <w:rFonts w:ascii="Cambria" w:hAnsi="Cambria"/>
                <w:sz w:val="20"/>
                <w:szCs w:val="20"/>
              </w:rPr>
              <w:t>.</w:t>
            </w:r>
            <w:r w:rsidRPr="00C52CCC">
              <w:rPr>
                <w:rFonts w:ascii="Cambria" w:hAnsi="Cambria"/>
                <w:sz w:val="20"/>
                <w:szCs w:val="20"/>
              </w:rPr>
              <w:t xml:space="preserve"> Fehlerbehebung)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6E3792F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FACDA5D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541F6E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EA9E2F2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0953AA6B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56276D84" w14:textId="6CE80674" w:rsidR="0096501F" w:rsidRPr="00C52CCC" w:rsidRDefault="0096501F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Kenntnis des Implementierens von Benutzerschnittstellen für Applikationen unter Berücksichtigung der Ergonomie, Benutzerfreundlichkeit (z</w:t>
            </w:r>
            <w:r w:rsidR="00A9445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52CCC">
              <w:rPr>
                <w:rFonts w:ascii="Cambria" w:hAnsi="Cambria"/>
                <w:sz w:val="20"/>
                <w:szCs w:val="20"/>
              </w:rPr>
              <w:t>B</w:t>
            </w:r>
            <w:r w:rsidR="00A94459">
              <w:rPr>
                <w:rFonts w:ascii="Cambria" w:hAnsi="Cambria"/>
                <w:sz w:val="20"/>
                <w:szCs w:val="20"/>
              </w:rPr>
              <w:t>.</w:t>
            </w:r>
            <w:r w:rsidRPr="00C52CCC">
              <w:rPr>
                <w:rFonts w:ascii="Cambria" w:hAnsi="Cambria"/>
                <w:sz w:val="20"/>
                <w:szCs w:val="20"/>
              </w:rPr>
              <w:t xml:space="preserve"> grafische Benutzerschnittstellen GUI), CI/CD-Vorgaben, gute Wartbarkeit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1A13FAA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2142703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A29782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3F356BE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327FB13F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3F0645C4" w14:textId="313582CF" w:rsidR="0096501F" w:rsidRPr="00C52CCC" w:rsidRDefault="0096501F" w:rsidP="0096501F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Mitwirken beim Implementieren von Benutzerschnittstellen für Applikationen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EAF4FA9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68FEFF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AF5D462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3E1A4E4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36814245" w14:textId="77777777" w:rsidTr="00741D6C">
        <w:trPr>
          <w:trHeight w:val="397"/>
        </w:trPr>
        <w:tc>
          <w:tcPr>
            <w:tcW w:w="3325" w:type="pct"/>
            <w:shd w:val="clear" w:color="auto" w:fill="auto"/>
            <w:vAlign w:val="center"/>
          </w:tcPr>
          <w:p w14:paraId="1B1C2EB3" w14:textId="05603ADB" w:rsidR="0096501F" w:rsidRPr="00C52CCC" w:rsidRDefault="0096501F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 xml:space="preserve">Implementieren von Benutzerschnittstellen für Applikationen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33848F1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1531D11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2C8EF503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35A33C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341195A3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627B8766" w14:textId="7DD00AA6" w:rsidR="0096501F" w:rsidRPr="00C52CCC" w:rsidRDefault="0096501F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Kenntnis des Erstellens von technischen Dokumentationen und Hilfestellungen für Benut</w:t>
            </w:r>
            <w:r w:rsidR="00C52CCC" w:rsidRPr="00C52CCC">
              <w:rPr>
                <w:rFonts w:ascii="Cambria" w:hAnsi="Cambria"/>
                <w:sz w:val="20"/>
                <w:szCs w:val="20"/>
              </w:rPr>
              <w:t>z</w:t>
            </w:r>
            <w:r w:rsidRPr="00C52CCC">
              <w:rPr>
                <w:rFonts w:ascii="Cambria" w:hAnsi="Cambria"/>
                <w:sz w:val="20"/>
                <w:szCs w:val="20"/>
              </w:rPr>
              <w:t>er (z</w:t>
            </w:r>
            <w:r w:rsidR="000824D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52CCC">
              <w:rPr>
                <w:rFonts w:ascii="Cambria" w:hAnsi="Cambria"/>
                <w:sz w:val="20"/>
                <w:szCs w:val="20"/>
              </w:rPr>
              <w:t>B</w:t>
            </w:r>
            <w:r w:rsidR="000824D7">
              <w:rPr>
                <w:rFonts w:ascii="Cambria" w:hAnsi="Cambria"/>
                <w:sz w:val="20"/>
                <w:szCs w:val="20"/>
              </w:rPr>
              <w:t>.</w:t>
            </w:r>
            <w:r w:rsidRPr="00C52CCC">
              <w:rPr>
                <w:rFonts w:ascii="Cambria" w:hAnsi="Cambria"/>
                <w:sz w:val="20"/>
                <w:szCs w:val="20"/>
              </w:rPr>
              <w:t xml:space="preserve"> FAQ, Handbücher, kontextsensitive Hilfe) und deren Anforderungen (kurz, prägnant, verständlich) für Applikationen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8064712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3E1506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55D6A1F0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60F4D34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795C6FB3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23EC0362" w14:textId="09C2B74B" w:rsidR="0096501F" w:rsidRPr="00C52CCC" w:rsidRDefault="0096501F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 xml:space="preserve">Mitwirken beim Erstellen von technischen Dokumentationen und Hilfestellungen für Benutzer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04A8DB6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72B410E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116B89EF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6597531D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5F26FF53" w14:textId="77777777" w:rsidTr="00741D6C">
        <w:trPr>
          <w:trHeight w:val="567"/>
        </w:trPr>
        <w:tc>
          <w:tcPr>
            <w:tcW w:w="3325" w:type="pct"/>
            <w:shd w:val="clear" w:color="auto" w:fill="auto"/>
            <w:vAlign w:val="center"/>
          </w:tcPr>
          <w:p w14:paraId="63306683" w14:textId="6244A08C" w:rsidR="0096501F" w:rsidRPr="00C52CCC" w:rsidRDefault="0096501F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Erstellen von technischen Dokumentati</w:t>
            </w:r>
            <w:r w:rsidR="00C52CCC" w:rsidRPr="00C52CCC">
              <w:rPr>
                <w:rFonts w:ascii="Cambria" w:hAnsi="Cambria"/>
                <w:sz w:val="20"/>
                <w:szCs w:val="20"/>
              </w:rPr>
              <w:t>o</w:t>
            </w:r>
            <w:r w:rsidRPr="00C52CCC">
              <w:rPr>
                <w:rFonts w:ascii="Cambria" w:hAnsi="Cambria"/>
                <w:sz w:val="20"/>
                <w:szCs w:val="20"/>
              </w:rPr>
              <w:t>nen und Hilfestellungen für Benutzer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2D99617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05FDCC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8A591C3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2D5CD06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4CC86A97" w14:textId="77777777" w:rsidTr="00741D6C">
        <w:trPr>
          <w:trHeight w:val="680"/>
        </w:trPr>
        <w:tc>
          <w:tcPr>
            <w:tcW w:w="3325" w:type="pct"/>
            <w:shd w:val="clear" w:color="auto" w:fill="auto"/>
            <w:vAlign w:val="center"/>
          </w:tcPr>
          <w:p w14:paraId="35B61385" w14:textId="56CBC4AA" w:rsidR="0096501F" w:rsidRPr="00C52CCC" w:rsidRDefault="00C52CCC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>Kenntnis der Abläufe und Prozessschritte zum Roll-out von Applikationen (Einführungsvorgehen, Sicherheitsanforderungen, evtl. Abbruch und Rückführung, Datenmigration/Konvertierung, Benutzerschulung/Benutzerinnenschulung, Übergabe, Abnahme)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517B274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925DD84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CAFCE7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F90B04D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2F8C2BB1" w14:textId="77777777" w:rsidTr="00741D6C">
        <w:trPr>
          <w:trHeight w:val="397"/>
        </w:trPr>
        <w:tc>
          <w:tcPr>
            <w:tcW w:w="3325" w:type="pct"/>
            <w:shd w:val="clear" w:color="auto" w:fill="auto"/>
            <w:vAlign w:val="center"/>
          </w:tcPr>
          <w:p w14:paraId="39C0FB45" w14:textId="7F5998E7" w:rsidR="0096501F" w:rsidRPr="00C52CCC" w:rsidRDefault="00C52CCC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 xml:space="preserve">Mitwirken beim Roll- out von Applikationen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B745A23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9B2C2E8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9EC4873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8A43B84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6501F" w:rsidRPr="001E7968" w14:paraId="242BDE25" w14:textId="77777777" w:rsidTr="00741D6C">
        <w:trPr>
          <w:trHeight w:val="397"/>
        </w:trPr>
        <w:tc>
          <w:tcPr>
            <w:tcW w:w="3325" w:type="pct"/>
            <w:shd w:val="clear" w:color="auto" w:fill="auto"/>
            <w:vAlign w:val="center"/>
          </w:tcPr>
          <w:p w14:paraId="437D70A6" w14:textId="42DB3414" w:rsidR="0096501F" w:rsidRPr="00C52CCC" w:rsidRDefault="00C52CCC" w:rsidP="0096501F">
            <w:pPr>
              <w:pStyle w:val="Default"/>
              <w:rPr>
                <w:rFonts w:ascii="Cambria" w:hAnsi="Cambria"/>
                <w:szCs w:val="20"/>
              </w:rPr>
            </w:pPr>
            <w:r w:rsidRPr="00C52CCC">
              <w:rPr>
                <w:rFonts w:ascii="Cambria" w:hAnsi="Cambria"/>
                <w:sz w:val="20"/>
                <w:szCs w:val="20"/>
              </w:rPr>
              <w:t xml:space="preserve">Roll-out von Applikationen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E576D71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B0E596C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089681D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26BFF3F" w14:textId="77777777" w:rsidR="0096501F" w:rsidRPr="00C52CCC" w:rsidRDefault="0096501F" w:rsidP="00741D6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A5F35C7" w14:textId="77777777" w:rsidR="00674A89" w:rsidRDefault="00674A89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6"/>
        <w:gridCol w:w="778"/>
        <w:gridCol w:w="778"/>
        <w:gridCol w:w="778"/>
        <w:gridCol w:w="778"/>
      </w:tblGrid>
      <w:tr w:rsidR="00F02485" w:rsidRPr="0015671D" w14:paraId="1B297681" w14:textId="77777777" w:rsidTr="00741D6C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328D43C0" w14:textId="34332D57" w:rsidR="00F02485" w:rsidRPr="0015671D" w:rsidRDefault="00C52CCC" w:rsidP="00F02485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5671D">
              <w:rPr>
                <w:b/>
                <w:bCs/>
                <w:color w:val="FFFFFF" w:themeColor="background1"/>
                <w:sz w:val="22"/>
              </w:rPr>
              <w:lastRenderedPageBreak/>
              <w:t>Daten und Datenbanken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706CF17E" w14:textId="77777777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5671D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5671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5671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1E795953" w14:textId="77777777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5671D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5671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5671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032E75CE" w14:textId="287287C1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5671D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5671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5671D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30648405" w14:textId="3AFFB3BF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5671D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15671D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5671D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02485" w:rsidRPr="0015671D" w14:paraId="139CB799" w14:textId="77777777" w:rsidTr="00741D6C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20B3FFAB" w14:textId="77777777" w:rsidR="00F02485" w:rsidRPr="0015671D" w:rsidRDefault="00F02485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5671D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3463FD91" w14:textId="77777777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5671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7B037139" w14:textId="77777777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5671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081A99C0" w14:textId="4CCEB0CF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5671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4E1B97D5" w14:textId="286A10FE" w:rsidR="00F02485" w:rsidRPr="0015671D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5671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2485" w:rsidRPr="0015671D" w14:paraId="53FD5D8C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7E3C2DAA" w14:textId="12E71D23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Kenntnis des Identifizierens und Analysierens (Entitäten, Beziehungen, Beschreiben, Bestimmen von Datentypen) von Daten und des Entwickelns von geeigneten Datenmodellen sowie des Formulierens von Testdaten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5B0BEBA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891DC08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477ADE2C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EB2FF6B" w14:textId="7F890B13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4EDA50A5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9FAAE1C" w14:textId="1DDB7A83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Mitwirken beim Identifizieren und Analysieren von Daten und beim Entwickeln von geeigneten Datenmodellen sowie beim Formulieren von Testdaten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0F63160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FD11B78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E40AA37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417C480" w14:textId="4FAA2B01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6D5A37EE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2854A462" w14:textId="7F89A9DD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Identifizieren und Analysieren von Daten und Entwickeln von geeigneten Datenmodellen sowie Formulieren von Testdaten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5233004B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99F1C09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1A55BEA2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8033021" w14:textId="21CEEC8E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2DC0118B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39208C6A" w14:textId="7F1A74A7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Kenntnis der Abläufe und Prozessschritte (Auswählen des Datenbankmanagementsystems, Erstellen des physischen Modells, Performance- und Stresstests, Datensicherheit, Datenschutz, Datenverschlüsselung – Kryptografie, Datenmigration) zum Umsetzen von Datenmodellen in eine Datenbank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30B7882A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BEF7BF1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31FFDF65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D72875E" w14:textId="667F056C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299BC811" w14:textId="77777777" w:rsidTr="00741D6C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C6DC6A8" w14:textId="7D314619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Mitwirken beim Umsetzen von Datenmodellen in eine Datenbank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A6AE79B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2441793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246B2B08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9493C52" w14:textId="4029F364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54370A74" w14:textId="77777777" w:rsidTr="00741D6C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58570971" w14:textId="0452CB90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Umsetzen von Datenmodellen in eine Datenbank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E122904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9BC46AF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4D6EB868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6F08550" w14:textId="3E5E945E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76BED3A0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5E98ED6A" w14:textId="46305FD7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Kenntnis der Abläufe und Prozessschritte (Zugriffschnittstelle, Zugriffstechnologie, Transaktionskonzept, Programmierung, Testreihen, Benutzerabnahmetest/Benutzerinnenabnahmetest, Ergebnisprüfung) zum Entwickeln von Zugriffen auf eine Datenbank mit geeigneten Abfragesprachen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BD8DD37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9AB5B6D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019F0F12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DDF3345" w14:textId="2BA55AF4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706471BD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11C9A12E" w14:textId="28312D78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Mitwirken beim Entwickeln von Zugriffen auf eine Datenbank mit geeigneten Abfragesprachen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F392584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E6147EA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1F51AE06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510CBBB" w14:textId="4E11E381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15671D" w14:paraId="0AE997BF" w14:textId="77777777" w:rsidTr="00741D6C">
        <w:trPr>
          <w:trHeight w:val="567"/>
        </w:trPr>
        <w:tc>
          <w:tcPr>
            <w:tcW w:w="3323" w:type="pct"/>
            <w:shd w:val="clear" w:color="auto" w:fill="auto"/>
            <w:vAlign w:val="center"/>
          </w:tcPr>
          <w:p w14:paraId="586C5153" w14:textId="253959DC" w:rsidR="00F02485" w:rsidRPr="0015671D" w:rsidRDefault="00C52CCC" w:rsidP="00C52CCC">
            <w:pPr>
              <w:pStyle w:val="Default"/>
              <w:rPr>
                <w:rFonts w:ascii="Cambria" w:hAnsi="Cambria"/>
                <w:szCs w:val="20"/>
              </w:rPr>
            </w:pPr>
            <w:r w:rsidRPr="0015671D">
              <w:rPr>
                <w:rFonts w:ascii="Cambria" w:hAnsi="Cambria"/>
                <w:sz w:val="20"/>
                <w:szCs w:val="20"/>
              </w:rPr>
              <w:t xml:space="preserve">Entwickeln von Zugriffen auf eine Datenbank mit geeigneten Abfragesprachen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E78CC1F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B3B9B7B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2BD14148" w14:textId="77777777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08C86579" w14:textId="1B8DD92D" w:rsidR="00F02485" w:rsidRPr="0015671D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A33F8F6" w14:textId="77777777" w:rsidR="00A20ED6" w:rsidRDefault="00A20ED6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6"/>
        <w:gridCol w:w="778"/>
        <w:gridCol w:w="778"/>
        <w:gridCol w:w="778"/>
        <w:gridCol w:w="778"/>
      </w:tblGrid>
      <w:tr w:rsidR="00F02485" w:rsidRPr="00E21952" w14:paraId="1C10A199" w14:textId="77777777" w:rsidTr="00741D6C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55457C81" w14:textId="2865F34F" w:rsidR="00F02485" w:rsidRPr="00E21952" w:rsidRDefault="0015671D" w:rsidP="00F02485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21952">
              <w:rPr>
                <w:b/>
                <w:bCs/>
                <w:color w:val="FFFFFF" w:themeColor="background1"/>
                <w:sz w:val="22"/>
              </w:rPr>
              <w:lastRenderedPageBreak/>
              <w:t>Qualitäts- und Projektmanagement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65C65287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0458F3F1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3B0FC4A8" w14:textId="3061C9CB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6393116E" w14:textId="4862FE9B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02485" w:rsidRPr="00E21952" w14:paraId="2937037D" w14:textId="77777777" w:rsidTr="00741D6C">
        <w:trPr>
          <w:trHeight w:hRule="exact" w:val="397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77777777" w:rsidR="00F02485" w:rsidRPr="00E21952" w:rsidRDefault="00F02485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86DE2E2" w14:textId="32874D5C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66F82344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2485" w:rsidRPr="00E21952" w14:paraId="4085F355" w14:textId="77777777" w:rsidTr="00741D6C">
        <w:trPr>
          <w:trHeight w:val="397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6FC0376C" w:rsidR="00F02485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Grundkenntnisse über Qualitätssicherung und Qualitätskontrolle 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A00335C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89E0E8" w14:textId="0AA5E99F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5671D" w:rsidRPr="00E21952" w14:paraId="297C74C5" w14:textId="77777777" w:rsidTr="00741D6C">
        <w:trPr>
          <w:trHeight w:val="397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35AB85" w14:textId="0EB0B3E6" w:rsidR="0015671D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Kenntnis des betriebsspezifischen Qualitätsmanagements 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021038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34F469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911F3C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681863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5671D" w:rsidRPr="00E21952" w14:paraId="52027DA9" w14:textId="77777777" w:rsidTr="00741D6C">
        <w:trPr>
          <w:trHeight w:val="397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0B98D" w14:textId="10DAADEB" w:rsidR="0015671D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Mitwirken beim betriebsspezifischen Qualitätsmanagement 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EB2653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29F84B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753A6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C0F1A1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5671D" w:rsidRPr="00E21952" w14:paraId="7C385421" w14:textId="77777777" w:rsidTr="00741D6C">
        <w:trPr>
          <w:trHeight w:val="680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4A7DB" w14:textId="4177C3FD" w:rsidR="0015671D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>Kenntnis der Wichtigkeit der Dokumentation aller ausgeführter Arbeiten und Tests gemäß betriebsspezifische</w:t>
            </w:r>
            <w:r w:rsidR="003B5798">
              <w:rPr>
                <w:rFonts w:ascii="Cambria" w:hAnsi="Cambria"/>
                <w:sz w:val="20"/>
                <w:szCs w:val="20"/>
              </w:rPr>
              <w:t>m</w:t>
            </w:r>
            <w:r w:rsidRPr="00E21952">
              <w:rPr>
                <w:rFonts w:ascii="Cambria" w:hAnsi="Cambria"/>
                <w:sz w:val="20"/>
                <w:szCs w:val="20"/>
              </w:rPr>
              <w:t xml:space="preserve"> Qualitätsmanagement 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085DBE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10C0E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383A40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F4F76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5671D" w:rsidRPr="00E21952" w14:paraId="28E502CA" w14:textId="77777777" w:rsidTr="00741D6C">
        <w:trPr>
          <w:trHeight w:val="567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ADC51" w14:textId="53678E08" w:rsidR="0015671D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>Dokumentieren aller ausgeführter Arbeiten und Tests gemäß betriebs-spezifische</w:t>
            </w:r>
            <w:r w:rsidR="002E37BA">
              <w:rPr>
                <w:rFonts w:ascii="Cambria" w:hAnsi="Cambria"/>
                <w:sz w:val="20"/>
                <w:szCs w:val="20"/>
              </w:rPr>
              <w:t xml:space="preserve">m </w:t>
            </w:r>
            <w:r w:rsidRPr="00E21952">
              <w:rPr>
                <w:rFonts w:ascii="Cambria" w:hAnsi="Cambria"/>
                <w:sz w:val="20"/>
                <w:szCs w:val="20"/>
              </w:rPr>
              <w:t xml:space="preserve">Qualitätsmanagement 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62E85E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928EE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23F093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D1277F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5671D" w:rsidRPr="00E21952" w14:paraId="1AA06361" w14:textId="77777777" w:rsidTr="00741D6C">
        <w:trPr>
          <w:trHeight w:val="1587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6D6EC8" w14:textId="72DFF621" w:rsidR="0015671D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>Kenntnis des Projektmanagements (Analysieren des Arbeitsumfanges, Projektdefinition, Projektmethoden, Projektplanung (Planungstool, Kosten, Abhängigkeiten, Engpässe), Erstellen der Arbeitsplanung, Erstellen von Checklisten und Zeitplänen, Projektstatus, Teamsitzungen, Projektkontrolle) und geeigneter Vorgehensmodelle (z</w:t>
            </w:r>
            <w:r w:rsidR="00D2307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E21952">
              <w:rPr>
                <w:rFonts w:ascii="Cambria" w:hAnsi="Cambria"/>
                <w:sz w:val="20"/>
                <w:szCs w:val="20"/>
              </w:rPr>
              <w:t>B</w:t>
            </w:r>
            <w:r w:rsidR="00D2307F">
              <w:rPr>
                <w:rFonts w:ascii="Cambria" w:hAnsi="Cambria"/>
                <w:sz w:val="20"/>
                <w:szCs w:val="20"/>
              </w:rPr>
              <w:t>.</w:t>
            </w:r>
            <w:r w:rsidRPr="00E21952">
              <w:rPr>
                <w:rFonts w:ascii="Cambria" w:hAnsi="Cambria"/>
                <w:sz w:val="20"/>
                <w:szCs w:val="20"/>
              </w:rPr>
              <w:t xml:space="preserve"> agile Methoden, </w:t>
            </w:r>
            <w:proofErr w:type="spellStart"/>
            <w:r w:rsidRPr="00E21952">
              <w:rPr>
                <w:rFonts w:ascii="Cambria" w:hAnsi="Cambria"/>
                <w:sz w:val="20"/>
                <w:szCs w:val="20"/>
              </w:rPr>
              <w:t>DevOps</w:t>
            </w:r>
            <w:proofErr w:type="spellEnd"/>
            <w:r w:rsidRPr="00E21952">
              <w:rPr>
                <w:rFonts w:ascii="Cambria" w:hAnsi="Cambria"/>
                <w:sz w:val="20"/>
                <w:szCs w:val="20"/>
              </w:rPr>
              <w:t>, Wasserfallmodell)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3FACB2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D111CB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A4463A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2702B9" w14:textId="77777777" w:rsidR="0015671D" w:rsidRPr="00E21952" w:rsidRDefault="0015671D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E21952" w14:paraId="4CD9C311" w14:textId="77777777" w:rsidTr="00741D6C">
        <w:trPr>
          <w:trHeight w:val="1020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14675969" w:rsidR="00F02485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Mitarbeiten an Projekten (Erstellen der eigenen Zeit- und Ressourcen-planung, Übernehmen von Teilaufträgen, Präsentieren von Lösungen, Abgleichen des Projektstandes mit anderen Teammitgliedern, Erstellen von Teilprojektberichten) 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B65F6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449D61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0F9BE" w14:textId="14BF058D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E21952" w14:paraId="4D658E97" w14:textId="77777777" w:rsidTr="00741D6C">
        <w:trPr>
          <w:trHeight w:val="1020"/>
        </w:trPr>
        <w:tc>
          <w:tcPr>
            <w:tcW w:w="332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D433C" w14:textId="6426E977" w:rsidR="00F02485" w:rsidRPr="00E21952" w:rsidRDefault="0015671D" w:rsidP="0015671D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Durchführen von Projekten (Erstellen der Zeit- und Ressourcen-planung, Erteilen von Teilaufträgen, Präsentieren von Lösungen, Abgleichen des Projektstandes mit anderen Teammitgliedern, Erstellen von Projektberichten) </w:t>
            </w: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2A92964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EA5BDF1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014E3A1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748D81" w14:textId="0656840F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E21952" w14:paraId="015359B3" w14:textId="77777777" w:rsidTr="00741D6C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4C1C1317" w14:textId="56040219" w:rsidR="00F02485" w:rsidRPr="00E21952" w:rsidRDefault="00F02485" w:rsidP="00F02485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2195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</w:t>
            </w:r>
            <w:r w:rsidR="00E21952" w:rsidRPr="00E2195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 und Kundinnen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6C154A32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07CC4F23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0C73A2C5" w14:textId="0BAF8962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19" w:type="pct"/>
            <w:shd w:val="clear" w:color="auto" w:fill="354E19"/>
            <w:vAlign w:val="center"/>
          </w:tcPr>
          <w:p w14:paraId="4404A5A4" w14:textId="3CD5D2F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21952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E2195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21952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02485" w:rsidRPr="00E21952" w14:paraId="2DCC2E1F" w14:textId="77777777" w:rsidTr="00741D6C">
        <w:trPr>
          <w:trHeight w:hRule="exact" w:val="397"/>
        </w:trPr>
        <w:tc>
          <w:tcPr>
            <w:tcW w:w="3323" w:type="pct"/>
            <w:shd w:val="clear" w:color="auto" w:fill="BFBFBF"/>
            <w:vAlign w:val="center"/>
          </w:tcPr>
          <w:p w14:paraId="75A4E8B0" w14:textId="77777777" w:rsidR="00F02485" w:rsidRPr="00E21952" w:rsidRDefault="00F02485" w:rsidP="00F0248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21952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527F9EC6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04FAFA75" w14:textId="77777777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42CC0CD2" w14:textId="6836289A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9" w:type="pct"/>
            <w:shd w:val="clear" w:color="auto" w:fill="BFBFBF"/>
            <w:vAlign w:val="center"/>
          </w:tcPr>
          <w:p w14:paraId="2B671CE4" w14:textId="4B381D62" w:rsidR="00F02485" w:rsidRPr="00E2195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2195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2485" w:rsidRPr="00E21952" w14:paraId="18C7B492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0D122632" w14:textId="29B35E2D" w:rsidR="00F02485" w:rsidRPr="00E21952" w:rsidRDefault="00E21952" w:rsidP="00E21952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Kenntnis des kundengerechten Verhaltens und der kundengerechten Kommunikation inkl. des Ablaufes und der Gestaltung des Beratungsgespräches 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0C4FF1DB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1FE200B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1A5A6ECD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3D203CC2" w14:textId="2914B46C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E21952" w14:paraId="2DB202BF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40671390" w14:textId="0396FECD" w:rsidR="00F02485" w:rsidRPr="00E21952" w:rsidRDefault="00E21952" w:rsidP="00E21952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Mitwirken beim Informieren, Beraten, Betreuen und gegebenenfalls Einschulen der Kunden und Kundinnen bzw. Anwender und Anwenderinnen sowie beim Anbieten von betrieblichen Serviceleistungen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D6662F0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6BEE730B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71DBBB46" w14:textId="77777777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35C04F61" w14:textId="1A59609A" w:rsidR="00F02485" w:rsidRPr="00E21952" w:rsidRDefault="00F02485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21952" w:rsidRPr="00E21952" w14:paraId="6B68A437" w14:textId="77777777" w:rsidTr="00741D6C">
        <w:trPr>
          <w:trHeight w:val="680"/>
        </w:trPr>
        <w:tc>
          <w:tcPr>
            <w:tcW w:w="3323" w:type="pct"/>
            <w:shd w:val="clear" w:color="auto" w:fill="auto"/>
            <w:vAlign w:val="center"/>
          </w:tcPr>
          <w:p w14:paraId="6F9875DC" w14:textId="296E0462" w:rsidR="00E21952" w:rsidRPr="00E21952" w:rsidRDefault="00E21952" w:rsidP="00E21952">
            <w:pPr>
              <w:pStyle w:val="Default"/>
              <w:rPr>
                <w:rFonts w:ascii="Cambria" w:hAnsi="Cambria"/>
                <w:szCs w:val="20"/>
              </w:rPr>
            </w:pPr>
            <w:r w:rsidRPr="00E21952">
              <w:rPr>
                <w:rFonts w:ascii="Cambria" w:hAnsi="Cambria"/>
                <w:sz w:val="20"/>
                <w:szCs w:val="20"/>
              </w:rPr>
              <w:t xml:space="preserve">Informieren, Beraten, Betreuen und gegebenen-falls Einschulen der Kunden und Kundinnen bzw. Anwender/Anwenderinnen sowie Anbieten von betrieblichen Serviceleistungen </w:t>
            </w: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6EE79CC" w14:textId="77777777" w:rsidR="00E21952" w:rsidRPr="00E21952" w:rsidRDefault="00E21952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6A6A6" w:themeFill="background1" w:themeFillShade="A6"/>
            <w:vAlign w:val="center"/>
          </w:tcPr>
          <w:p w14:paraId="45C37122" w14:textId="77777777" w:rsidR="00E21952" w:rsidRPr="00E21952" w:rsidRDefault="00E21952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75D80003" w14:textId="77777777" w:rsidR="00E21952" w:rsidRPr="00E21952" w:rsidRDefault="00E21952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14:paraId="7A856B0C" w14:textId="77777777" w:rsidR="00E21952" w:rsidRPr="00E21952" w:rsidRDefault="00E21952" w:rsidP="00741D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77777777" w:rsidR="00843980" w:rsidRPr="006D74AC" w:rsidRDefault="00843980" w:rsidP="00E21952">
      <w:pPr>
        <w:pStyle w:val="h20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CF029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0E0BD4F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352A33" w:rsidRPr="00352A33">
            <w:rPr>
              <w:rStyle w:val="FuzeileZchn"/>
              <w:color w:val="FFFFFF" w:themeColor="background1"/>
              <w:sz w:val="18"/>
              <w:szCs w:val="18"/>
            </w:rPr>
            <w:t>Applikationsentwicklung – Coding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“ </w:t>
          </w:r>
          <w:r w:rsidR="00741D6C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D910E5C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352A33" w:rsidRPr="00352A33">
            <w:rPr>
              <w:rStyle w:val="FuzeileZchn"/>
              <w:color w:val="FFFFFF" w:themeColor="background1"/>
              <w:sz w:val="18"/>
              <w:szCs w:val="18"/>
            </w:rPr>
            <w:t>Applikationsentwicklung – Coding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“ </w:t>
          </w:r>
          <w:r w:rsidR="00741D6C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04DBD"/>
    <w:rsid w:val="000220C9"/>
    <w:rsid w:val="00060EA4"/>
    <w:rsid w:val="000824D7"/>
    <w:rsid w:val="000D143F"/>
    <w:rsid w:val="001258B8"/>
    <w:rsid w:val="001308A7"/>
    <w:rsid w:val="0015671D"/>
    <w:rsid w:val="001835EC"/>
    <w:rsid w:val="001A59CB"/>
    <w:rsid w:val="001C0422"/>
    <w:rsid w:val="001E7968"/>
    <w:rsid w:val="0026102D"/>
    <w:rsid w:val="00270D72"/>
    <w:rsid w:val="002A34C7"/>
    <w:rsid w:val="002B6581"/>
    <w:rsid w:val="002C5242"/>
    <w:rsid w:val="002E37BA"/>
    <w:rsid w:val="00314005"/>
    <w:rsid w:val="00314A51"/>
    <w:rsid w:val="00315CAF"/>
    <w:rsid w:val="00342D7C"/>
    <w:rsid w:val="00352A33"/>
    <w:rsid w:val="003631FA"/>
    <w:rsid w:val="003A4716"/>
    <w:rsid w:val="003B5798"/>
    <w:rsid w:val="003E65FA"/>
    <w:rsid w:val="00402C81"/>
    <w:rsid w:val="0041242E"/>
    <w:rsid w:val="00433B30"/>
    <w:rsid w:val="004457D4"/>
    <w:rsid w:val="00461C18"/>
    <w:rsid w:val="00477EED"/>
    <w:rsid w:val="004956C7"/>
    <w:rsid w:val="004B3B20"/>
    <w:rsid w:val="004C4CC7"/>
    <w:rsid w:val="00523C5D"/>
    <w:rsid w:val="0053390E"/>
    <w:rsid w:val="0054290C"/>
    <w:rsid w:val="005962B3"/>
    <w:rsid w:val="005A07CC"/>
    <w:rsid w:val="005E0673"/>
    <w:rsid w:val="006052BF"/>
    <w:rsid w:val="00674A89"/>
    <w:rsid w:val="00697AAE"/>
    <w:rsid w:val="006A0046"/>
    <w:rsid w:val="006B0196"/>
    <w:rsid w:val="006C7BDF"/>
    <w:rsid w:val="006D14A0"/>
    <w:rsid w:val="006D5A48"/>
    <w:rsid w:val="006D74AC"/>
    <w:rsid w:val="006E438F"/>
    <w:rsid w:val="0070370D"/>
    <w:rsid w:val="00707638"/>
    <w:rsid w:val="00727BA0"/>
    <w:rsid w:val="0073545A"/>
    <w:rsid w:val="00741D6C"/>
    <w:rsid w:val="007A4A1C"/>
    <w:rsid w:val="007B4732"/>
    <w:rsid w:val="007C15C4"/>
    <w:rsid w:val="007E70F7"/>
    <w:rsid w:val="007F0C7E"/>
    <w:rsid w:val="00812B9B"/>
    <w:rsid w:val="00813F2A"/>
    <w:rsid w:val="008278C4"/>
    <w:rsid w:val="00843980"/>
    <w:rsid w:val="00847D8C"/>
    <w:rsid w:val="00866EA4"/>
    <w:rsid w:val="00883AE1"/>
    <w:rsid w:val="008902A4"/>
    <w:rsid w:val="00892249"/>
    <w:rsid w:val="008A512D"/>
    <w:rsid w:val="008B7258"/>
    <w:rsid w:val="008F7E70"/>
    <w:rsid w:val="00964789"/>
    <w:rsid w:val="0096501F"/>
    <w:rsid w:val="009730C5"/>
    <w:rsid w:val="0098121A"/>
    <w:rsid w:val="00991398"/>
    <w:rsid w:val="009F6CC3"/>
    <w:rsid w:val="00A02A9E"/>
    <w:rsid w:val="00A20ED6"/>
    <w:rsid w:val="00A94459"/>
    <w:rsid w:val="00AD4529"/>
    <w:rsid w:val="00B03D93"/>
    <w:rsid w:val="00B12598"/>
    <w:rsid w:val="00B25997"/>
    <w:rsid w:val="00B33899"/>
    <w:rsid w:val="00B44F11"/>
    <w:rsid w:val="00B47261"/>
    <w:rsid w:val="00B832A1"/>
    <w:rsid w:val="00B92F47"/>
    <w:rsid w:val="00B96B7D"/>
    <w:rsid w:val="00B96CDC"/>
    <w:rsid w:val="00BB63D8"/>
    <w:rsid w:val="00C123B9"/>
    <w:rsid w:val="00C5025F"/>
    <w:rsid w:val="00C50EE5"/>
    <w:rsid w:val="00C52CCC"/>
    <w:rsid w:val="00C7703B"/>
    <w:rsid w:val="00C949C7"/>
    <w:rsid w:val="00C97A6A"/>
    <w:rsid w:val="00CF0291"/>
    <w:rsid w:val="00D04192"/>
    <w:rsid w:val="00D06C53"/>
    <w:rsid w:val="00D12018"/>
    <w:rsid w:val="00D2307F"/>
    <w:rsid w:val="00D46F10"/>
    <w:rsid w:val="00D823DD"/>
    <w:rsid w:val="00DE57A0"/>
    <w:rsid w:val="00E02B47"/>
    <w:rsid w:val="00E21952"/>
    <w:rsid w:val="00E2294A"/>
    <w:rsid w:val="00E436DA"/>
    <w:rsid w:val="00E511A7"/>
    <w:rsid w:val="00E93F44"/>
    <w:rsid w:val="00F02485"/>
    <w:rsid w:val="00F07C49"/>
    <w:rsid w:val="00F344BD"/>
    <w:rsid w:val="00F37E40"/>
    <w:rsid w:val="00F400F3"/>
    <w:rsid w:val="00F51205"/>
    <w:rsid w:val="00F55448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18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2023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67</cp:revision>
  <dcterms:created xsi:type="dcterms:W3CDTF">2023-03-29T11:46:00Z</dcterms:created>
  <dcterms:modified xsi:type="dcterms:W3CDTF">2023-12-06T07:53:00Z</dcterms:modified>
</cp:coreProperties>
</file>