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35BE3EB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FE1019" w:rsidRPr="00FE1019">
        <w:t>Kosmetiker</w:t>
      </w:r>
      <w:r w:rsidR="00FE1019">
        <w:t xml:space="preserve"> / </w:t>
      </w:r>
      <w:r w:rsidR="00FE1019" w:rsidRPr="00FE1019">
        <w:t>Kosmetiker</w:t>
      </w:r>
      <w:r w:rsidR="00FE1019">
        <w:t>in</w:t>
      </w:r>
      <w:r w:rsidR="00FC1C0D">
        <w:br/>
      </w:r>
      <w:r w:rsidR="005A07CC" w:rsidRPr="006D74AC">
        <w:t xml:space="preserve">nach dem BGBl. I Nr. </w:t>
      </w:r>
      <w:r w:rsidR="00FE1019" w:rsidRPr="00FE1019">
        <w:t>638/1996</w:t>
      </w:r>
      <w:r w:rsidR="005A07CC" w:rsidRPr="006D74AC">
        <w:t xml:space="preserve"> (</w:t>
      </w:r>
      <w:r w:rsidR="00FE1019">
        <w:t>203</w:t>
      </w:r>
      <w:r w:rsidR="005A07CC" w:rsidRPr="006D74AC">
        <w:t xml:space="preserve">. Verordnung; Jahrgang </w:t>
      </w:r>
      <w:r w:rsidR="00FE1019">
        <w:t>1996</w:t>
      </w:r>
      <w:r w:rsidR="00FE1019" w:rsidRPr="00DB5733">
        <w:t>, zuletzt geändert 147. Verordnung; Jahrgang 2006</w:t>
      </w:r>
      <w:r w:rsidR="005A07CC" w:rsidRPr="00DB5733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DB573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DB573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8"/>
        <w:gridCol w:w="419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</w:r>
                  <w:proofErr w:type="gramStart"/>
                  <w:r w:rsidRPr="006D74AC">
                    <w:t>Erstreckt</w:t>
                  </w:r>
                  <w:proofErr w:type="gramEnd"/>
                  <w:r w:rsidRPr="006D74AC">
                    <w:t xml:space="preserve">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6300"/>
              <w:gridCol w:w="831"/>
              <w:gridCol w:w="831"/>
            </w:tblGrid>
            <w:tr w:rsidR="00FE1019" w:rsidRPr="006D74AC" w14:paraId="0FF2FA5B" w14:textId="77777777" w:rsidTr="00FE1019">
              <w:trPr>
                <w:trHeight w:hRule="exact" w:val="596"/>
              </w:trPr>
              <w:tc>
                <w:tcPr>
                  <w:tcW w:w="3956" w:type="pct"/>
                  <w:shd w:val="clear" w:color="auto" w:fill="354E19"/>
                  <w:vAlign w:val="center"/>
                </w:tcPr>
                <w:p w14:paraId="320A4B21" w14:textId="77777777" w:rsidR="00FE1019" w:rsidRPr="006D74AC" w:rsidRDefault="00FE1019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522" w:type="pct"/>
                  <w:shd w:val="clear" w:color="auto" w:fill="354E19"/>
                  <w:vAlign w:val="center"/>
                </w:tcPr>
                <w:p w14:paraId="4FF0FC37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22" w:type="pct"/>
                  <w:shd w:val="clear" w:color="auto" w:fill="354E19"/>
                  <w:vAlign w:val="center"/>
                </w:tcPr>
                <w:p w14:paraId="6B08B1E7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FE1019" w:rsidRPr="006D74AC" w14:paraId="75C958E0" w14:textId="77777777" w:rsidTr="00FE1019">
              <w:trPr>
                <w:trHeight w:hRule="exact" w:val="454"/>
              </w:trPr>
              <w:tc>
                <w:tcPr>
                  <w:tcW w:w="3956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FE1019" w:rsidRPr="006D74AC" w:rsidRDefault="00FE1019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52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2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E1019" w:rsidRPr="006D74AC" w14:paraId="301C6FB4" w14:textId="77777777" w:rsidTr="00FE1019">
              <w:trPr>
                <w:trHeight w:val="527"/>
              </w:trPr>
              <w:tc>
                <w:tcPr>
                  <w:tcW w:w="3956" w:type="pct"/>
                  <w:shd w:val="clear" w:color="auto" w:fill="auto"/>
                  <w:vAlign w:val="center"/>
                </w:tcPr>
                <w:p w14:paraId="48638DFF" w14:textId="77777777" w:rsidR="00FE1019" w:rsidRPr="006D74AC" w:rsidRDefault="00FE1019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522" w:type="pct"/>
                  <w:shd w:val="clear" w:color="auto" w:fill="FFFFFF" w:themeFill="background1"/>
                  <w:vAlign w:val="center"/>
                </w:tcPr>
                <w:p w14:paraId="2E4B5CF5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2" w:type="pct"/>
                  <w:shd w:val="clear" w:color="auto" w:fill="FFFFFF" w:themeFill="background1"/>
                  <w:vAlign w:val="center"/>
                </w:tcPr>
                <w:p w14:paraId="1C39FD5F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6284"/>
              <w:gridCol w:w="839"/>
              <w:gridCol w:w="839"/>
            </w:tblGrid>
            <w:tr w:rsidR="00FE1019" w:rsidRPr="006D74AC" w14:paraId="7A25F1AC" w14:textId="77777777" w:rsidTr="00FE1019">
              <w:trPr>
                <w:trHeight w:hRule="exact" w:val="560"/>
              </w:trPr>
              <w:tc>
                <w:tcPr>
                  <w:tcW w:w="3946" w:type="pct"/>
                  <w:shd w:val="clear" w:color="auto" w:fill="80A311"/>
                  <w:vAlign w:val="center"/>
                </w:tcPr>
                <w:p w14:paraId="42557D52" w14:textId="77777777" w:rsidR="00FE1019" w:rsidRPr="00A60E22" w:rsidRDefault="00FE1019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527" w:type="pct"/>
                  <w:shd w:val="clear" w:color="auto" w:fill="80A311"/>
                  <w:vAlign w:val="center"/>
                </w:tcPr>
                <w:p w14:paraId="64B57A7E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27" w:type="pct"/>
                  <w:shd w:val="clear" w:color="auto" w:fill="80A311"/>
                  <w:vAlign w:val="center"/>
                </w:tcPr>
                <w:p w14:paraId="21292D76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FE1019" w:rsidRPr="006D74AC" w14:paraId="515422CE" w14:textId="77777777" w:rsidTr="00FE1019">
              <w:trPr>
                <w:trHeight w:hRule="exact" w:val="454"/>
              </w:trPr>
              <w:tc>
                <w:tcPr>
                  <w:tcW w:w="3946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FE1019" w:rsidRPr="00A60E22" w:rsidRDefault="00FE1019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52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2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E1019" w:rsidRPr="006D74AC" w14:paraId="144D4A55" w14:textId="77777777" w:rsidTr="00FE1019">
              <w:trPr>
                <w:trHeight w:hRule="exact" w:val="591"/>
              </w:trPr>
              <w:tc>
                <w:tcPr>
                  <w:tcW w:w="3946" w:type="pct"/>
                  <w:shd w:val="clear" w:color="auto" w:fill="auto"/>
                  <w:vAlign w:val="center"/>
                </w:tcPr>
                <w:p w14:paraId="23C8239C" w14:textId="77777777" w:rsidR="00FE1019" w:rsidRPr="00FF5F0F" w:rsidRDefault="00FE1019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527" w:type="pct"/>
                  <w:shd w:val="clear" w:color="auto" w:fill="FFFFFF" w:themeFill="background1"/>
                </w:tcPr>
                <w:p w14:paraId="500AEB4B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27" w:type="pct"/>
                  <w:shd w:val="clear" w:color="auto" w:fill="A6A6A6" w:themeFill="background1" w:themeFillShade="A6"/>
                </w:tcPr>
                <w:p w14:paraId="4DF16AFF" w14:textId="77777777" w:rsidR="00FE1019" w:rsidRPr="006D74AC" w:rsidRDefault="00FE1019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393DE72" w14:textId="24BC9C19" w:rsidR="006F1458" w:rsidRPr="00EB2002" w:rsidRDefault="00843980" w:rsidP="00EB2002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6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46"/>
        <w:gridCol w:w="815"/>
        <w:gridCol w:w="813"/>
      </w:tblGrid>
      <w:tr w:rsidR="00FE1019" w:rsidRPr="006D74AC" w14:paraId="32F58CA0" w14:textId="005BFD3F" w:rsidTr="00091122">
        <w:trPr>
          <w:trHeight w:hRule="exact" w:val="595"/>
        </w:trPr>
        <w:tc>
          <w:tcPr>
            <w:tcW w:w="4113" w:type="pct"/>
            <w:shd w:val="clear" w:color="auto" w:fill="354E19"/>
            <w:vAlign w:val="center"/>
          </w:tcPr>
          <w:p w14:paraId="357BF748" w14:textId="65934735" w:rsidR="00FE1019" w:rsidRPr="006D74AC" w:rsidRDefault="00FE1019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F14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44" w:type="pct"/>
            <w:shd w:val="clear" w:color="auto" w:fill="354E19"/>
            <w:vAlign w:val="center"/>
          </w:tcPr>
          <w:p w14:paraId="6FCA46B7" w14:textId="77777777" w:rsidR="00FE1019" w:rsidRPr="006D74AC" w:rsidRDefault="00FE1019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43" w:type="pct"/>
            <w:shd w:val="clear" w:color="auto" w:fill="354E19"/>
            <w:vAlign w:val="center"/>
          </w:tcPr>
          <w:p w14:paraId="3E07D836" w14:textId="77777777" w:rsidR="00FE1019" w:rsidRPr="006D74AC" w:rsidRDefault="00FE1019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E1019" w:rsidRPr="006D74AC" w14:paraId="04B5549D" w14:textId="2E7551FF" w:rsidTr="00091122">
        <w:trPr>
          <w:trHeight w:hRule="exact" w:val="454"/>
        </w:trPr>
        <w:tc>
          <w:tcPr>
            <w:tcW w:w="4113" w:type="pct"/>
            <w:shd w:val="clear" w:color="auto" w:fill="BFBFBF"/>
            <w:vAlign w:val="center"/>
          </w:tcPr>
          <w:p w14:paraId="1120B61C" w14:textId="1192107A" w:rsidR="00FE1019" w:rsidRPr="006D74AC" w:rsidRDefault="00FE1019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44" w:type="pct"/>
            <w:shd w:val="clear" w:color="auto" w:fill="BFBFBF"/>
            <w:vAlign w:val="center"/>
          </w:tcPr>
          <w:p w14:paraId="2EF71DCD" w14:textId="77777777" w:rsidR="00FE1019" w:rsidRPr="006D74AC" w:rsidRDefault="00FE1019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3" w:type="pct"/>
            <w:shd w:val="clear" w:color="auto" w:fill="BFBFBF"/>
            <w:vAlign w:val="center"/>
          </w:tcPr>
          <w:p w14:paraId="593EFBD7" w14:textId="77777777" w:rsidR="00FE1019" w:rsidRPr="006D74AC" w:rsidRDefault="00FE1019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E1019" w:rsidRPr="006D74AC" w14:paraId="77D36756" w14:textId="167708AF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B7BAF00" w14:textId="018C9850" w:rsidR="00FE1019" w:rsidRPr="006D74AC" w:rsidRDefault="007340AD" w:rsidP="00EB2002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>Kenntnis der Arbeitsmaterialien und der Hilfsmittel, ihrer Eigenschaften und Verwendungsmöglichkeiten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2F57409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D71395C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019" w:rsidRPr="006D74AC" w14:paraId="3D46676A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E27B559" w14:textId="3AAC0DB2" w:rsidR="00FE1019" w:rsidRPr="00EB2002" w:rsidRDefault="007340AD" w:rsidP="007340AD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 xml:space="preserve">Handhaben und Instandhalten (keine Reparatur) der </w:t>
            </w:r>
            <w:proofErr w:type="gramStart"/>
            <w:r w:rsidRPr="007340AD">
              <w:rPr>
                <w:szCs w:val="20"/>
              </w:rPr>
              <w:t>zu verwendenden Instrumente</w:t>
            </w:r>
            <w:proofErr w:type="gramEnd"/>
            <w:r w:rsidRPr="007340AD">
              <w:rPr>
                <w:szCs w:val="20"/>
              </w:rPr>
              <w:t>, Apparate,</w:t>
            </w:r>
            <w:r>
              <w:rPr>
                <w:szCs w:val="20"/>
              </w:rPr>
              <w:t xml:space="preserve"> </w:t>
            </w:r>
            <w:r w:rsidRPr="007340AD">
              <w:rPr>
                <w:szCs w:val="20"/>
              </w:rPr>
              <w:t>Geräte, Einrichtungen und Arbeitsbehelfe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464DBAB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C4BFBC5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019" w:rsidRPr="006D74AC" w14:paraId="61594BE4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0CCCC34F" w14:textId="43780183" w:rsidR="00FE1019" w:rsidRPr="00EB2002" w:rsidRDefault="007340AD" w:rsidP="007340AD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>Richtige energiesparende und schonende, den Hygienevorschriften entsprechende Reinigung</w:t>
            </w:r>
            <w:r>
              <w:rPr>
                <w:szCs w:val="20"/>
              </w:rPr>
              <w:t xml:space="preserve"> </w:t>
            </w:r>
            <w:r w:rsidRPr="007340AD">
              <w:rPr>
                <w:szCs w:val="20"/>
              </w:rPr>
              <w:t>und Pflege der Instrumente, Apparate, Geräte und Arbeitsbehelfe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66D5C28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C7535AF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1019" w:rsidRPr="006D74AC" w14:paraId="0494D01A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1B200049" w14:textId="390A6D09" w:rsidR="00FE1019" w:rsidRPr="00EB2002" w:rsidRDefault="007340AD" w:rsidP="007340AD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 xml:space="preserve">Grundkenntnisse der in der Kosmetik zu verwendenden Mittel und Wirkstoffe in </w:t>
            </w:r>
            <w:proofErr w:type="spellStart"/>
            <w:proofErr w:type="gramStart"/>
            <w:r w:rsidRPr="007340AD">
              <w:rPr>
                <w:szCs w:val="20"/>
              </w:rPr>
              <w:t>bezug</w:t>
            </w:r>
            <w:proofErr w:type="spellEnd"/>
            <w:proofErr w:type="gramEnd"/>
            <w:r w:rsidRPr="007340AD">
              <w:rPr>
                <w:szCs w:val="20"/>
              </w:rPr>
              <w:t xml:space="preserve"> auf ihre</w:t>
            </w:r>
            <w:r>
              <w:rPr>
                <w:szCs w:val="20"/>
              </w:rPr>
              <w:t xml:space="preserve"> </w:t>
            </w:r>
            <w:r w:rsidRPr="007340AD">
              <w:rPr>
                <w:szCs w:val="20"/>
              </w:rPr>
              <w:t>Eigenschaften, An- und Verwendungsmöglichkeiten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5B7A725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193F9E0" w14:textId="77777777" w:rsidR="00FE1019" w:rsidRPr="006D74AC" w:rsidRDefault="00FE101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340AD" w:rsidRPr="006D74AC" w14:paraId="498F87E7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0B5F62F6" w14:textId="65475716" w:rsidR="007340AD" w:rsidRPr="00EB2002" w:rsidRDefault="007340AD" w:rsidP="007340AD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>Kenntnis der in der Kosmetik verwendeten Stoffe – präventiv und dekorativ – sowie sämtlicher</w:t>
            </w:r>
            <w:r>
              <w:rPr>
                <w:szCs w:val="20"/>
              </w:rPr>
              <w:t xml:space="preserve"> </w:t>
            </w:r>
            <w:r w:rsidRPr="007340AD">
              <w:rPr>
                <w:szCs w:val="20"/>
              </w:rPr>
              <w:t xml:space="preserve">im Betrieb verwendeten Präparate in </w:t>
            </w:r>
            <w:proofErr w:type="spellStart"/>
            <w:proofErr w:type="gramStart"/>
            <w:r w:rsidRPr="007340AD">
              <w:rPr>
                <w:szCs w:val="20"/>
              </w:rPr>
              <w:t>bezug</w:t>
            </w:r>
            <w:proofErr w:type="spellEnd"/>
            <w:proofErr w:type="gramEnd"/>
            <w:r w:rsidRPr="007340AD">
              <w:rPr>
                <w:szCs w:val="20"/>
              </w:rPr>
              <w:t xml:space="preserve"> auf ihre Eigenschaften, An- und Verwendungsmöglichkeiten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56425BF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E08FAEF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340AD" w:rsidRPr="006D74AC" w14:paraId="1136D4AF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1DD59D5D" w14:textId="014E92F1" w:rsidR="007340AD" w:rsidRPr="00EB2002" w:rsidRDefault="007340AD" w:rsidP="00EB2002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>Persönliche-, Betriebs- und Arbeitshygiene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702C789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0ADA8F0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340AD" w:rsidRPr="006D74AC" w14:paraId="343495E8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0AFEFF6" w14:textId="4F1CBF80" w:rsidR="007340AD" w:rsidRPr="00EB2002" w:rsidRDefault="007340AD" w:rsidP="007340AD">
            <w:pPr>
              <w:spacing w:before="40" w:after="40"/>
              <w:rPr>
                <w:szCs w:val="20"/>
              </w:rPr>
            </w:pPr>
            <w:r w:rsidRPr="007340AD">
              <w:rPr>
                <w:szCs w:val="20"/>
              </w:rPr>
              <w:t>Kenntnis über Beratungs- und Verkaufsgespräch</w:t>
            </w:r>
            <w:r>
              <w:rPr>
                <w:szCs w:val="20"/>
              </w:rPr>
              <w:t xml:space="preserve"> </w:t>
            </w:r>
            <w:r w:rsidRPr="007340AD">
              <w:rPr>
                <w:szCs w:val="20"/>
              </w:rPr>
              <w:t>Umgang mit Kunden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895AABA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10C36CE0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340AD" w:rsidRPr="006D74AC" w14:paraId="6112937B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49177838" w14:textId="2887340C" w:rsidR="007340AD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Fachkundiges, fallbezogenes Beratungs- und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Verkaufsgespräch mit berufsbezogener Ausdrucksweise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und Argumentation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246BDC8E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8F8EFC1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305C68BD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43E6CFBF" w14:textId="287BD971" w:rsidR="00484F1E" w:rsidRPr="00EB2002" w:rsidRDefault="00484F1E" w:rsidP="00EB2002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Führung der Kundenkartei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08BCA26A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7AF6FAF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340AD" w:rsidRPr="006D74AC" w14:paraId="7E95C745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3892615" w14:textId="77B1383C" w:rsidR="007340AD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Grundkenntnisse der Anatomie (Lehre vom Körperbau), Somatologie (Lehre vom menschlichen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Körper) und der speziellen Histologie (Lehre von der Haut und vom Gewebe) sowie Gebiete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der Atmung, Lymphe, Kreislauf, Ernährung und Stoffwechsel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F86BD96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F23E1AE" w14:textId="77777777" w:rsidR="007340AD" w:rsidRPr="006D74AC" w:rsidRDefault="007340A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6B3815D2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2763FDB5" w14:textId="18517275" w:rsidR="00484F1E" w:rsidRPr="00EB2002" w:rsidRDefault="00484F1E" w:rsidP="00EB2002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Kenntnis der Anatomie und Physiologie der Haut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208D688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81AE7B6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0F96076C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FF7B6F6" w14:textId="7E0F75CA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Grundkenntnisse über Wirkstoffe pflanzlicher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84F1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4F1E">
              <w:rPr>
                <w:szCs w:val="20"/>
              </w:rPr>
              <w:t xml:space="preserve"> Vitamine und Kräuter), tierischer und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synthetischer Herkunft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D32D642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62526FC0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7A64737B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2E12A34D" w14:textId="0CD908A1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Kenntnis über Wirkstoffe pflanzlicher (z</w:t>
            </w:r>
            <w:r>
              <w:rPr>
                <w:szCs w:val="20"/>
              </w:rPr>
              <w:t>. </w:t>
            </w:r>
            <w:r w:rsidRPr="00484F1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484F1E">
              <w:rPr>
                <w:szCs w:val="20"/>
              </w:rPr>
              <w:t>Vitamine und Kräuter), tierischer und synthetischer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 xml:space="preserve">Herkunft und mögliche </w:t>
            </w:r>
            <w:proofErr w:type="spellStart"/>
            <w:r w:rsidRPr="00484F1E">
              <w:rPr>
                <w:szCs w:val="20"/>
              </w:rPr>
              <w:t>Anwendungsge</w:t>
            </w:r>
            <w:proofErr w:type="spellEnd"/>
            <w:r w:rsidRPr="00484F1E">
              <w:rPr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und -verbote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1C0F9E09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E2E89AD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00F4D9F9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376B750" w14:textId="42E981BC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Kenntnis der physikalischen Schönheitspflege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484F1E">
              <w:rPr>
                <w:szCs w:val="20"/>
              </w:rPr>
              <w:t>(Elektrizität, Wasser, Licht, Wärme und Kälte)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C6362B1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5BCDCB15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5CD5D968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AAA7EC9" w14:textId="75A5E046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Anwenden der physikalischen Schönheitspflege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(Elektrizität, Wasser, Licht, Wärme und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Kälte); Anwenden und Kenntnis der Wirkung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von UV-Strahlen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39CEC47B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4C5465E5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1FE4962A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848BE3D" w14:textId="7052074D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Kenntnis der Haut, deren Struktur und Funktion; Kenntnis der Hauttypen, wie z</w:t>
            </w:r>
            <w:r>
              <w:rPr>
                <w:szCs w:val="20"/>
              </w:rPr>
              <w:t>. </w:t>
            </w:r>
            <w:r w:rsidRPr="00484F1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4F1E">
              <w:rPr>
                <w:szCs w:val="20"/>
              </w:rPr>
              <w:t>: normale,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 xml:space="preserve">trockene </w:t>
            </w:r>
            <w:proofErr w:type="spellStart"/>
            <w:r w:rsidRPr="00484F1E">
              <w:rPr>
                <w:szCs w:val="20"/>
              </w:rPr>
              <w:t>seborrhöische</w:t>
            </w:r>
            <w:proofErr w:type="spellEnd"/>
            <w:r w:rsidRPr="00484F1E">
              <w:rPr>
                <w:szCs w:val="20"/>
              </w:rPr>
              <w:t>, atrophische, empfindliche Haut, Raucherhaut; Feststellen des Alterungsvorganges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der Haut; Kenntnis der Hautveränderungen und Veränderungen der Fingernägel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sowie Hautanomalien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9B6F40A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ABD0138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67A3D4F9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678DC3FA" w14:textId="47FEE1CD" w:rsidR="00484F1E" w:rsidRPr="00EB2002" w:rsidRDefault="00484F1E" w:rsidP="00EB2002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Hautreinigen mittels Reinigungspräparaten und Apparaten; Anlegen von Kompressen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4A42ACE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90B0AA2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2CE2E216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46DE2CDD" w14:textId="080DA135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Hautdiagnose unter Berücksichtigung ihrer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Schönheitsfehler (Hauttyp, Hautfärbung,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Hautzustand usw.)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46C05E2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4F2A82A5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22146B13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D2BE792" w14:textId="6BB8A2A0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Spezielles Anwenden der pflegenden Kosmetik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484F1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4F1E">
              <w:rPr>
                <w:szCs w:val="20"/>
              </w:rPr>
              <w:t xml:space="preserve"> bei trockener, normaler, </w:t>
            </w:r>
            <w:proofErr w:type="spellStart"/>
            <w:r w:rsidRPr="00484F1E">
              <w:rPr>
                <w:szCs w:val="20"/>
              </w:rPr>
              <w:t>seborrhöischer</w:t>
            </w:r>
            <w:proofErr w:type="spellEnd"/>
            <w:r w:rsidRPr="00484F1E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atrophischer, empfindlicher Haut, Raucherhaut;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 xml:space="preserve">Entfernen von Komedonen, </w:t>
            </w:r>
            <w:proofErr w:type="spellStart"/>
            <w:r w:rsidRPr="00484F1E">
              <w:rPr>
                <w:szCs w:val="20"/>
              </w:rPr>
              <w:t>Milen</w:t>
            </w:r>
            <w:proofErr w:type="spellEnd"/>
            <w:r w:rsidRPr="00484F1E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Talgzysten und ähnlichem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585F971E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63533E3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5039BDC7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F27D97D" w14:textId="1C152B03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Pflegen, Formen und Färben der Augenbrauen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und Wimpern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6CF69CD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2E1AABB3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48EDCFE0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625C33F6" w14:textId="0F9551EE" w:rsidR="00484F1E" w:rsidRPr="00EB2002" w:rsidRDefault="00484F1E" w:rsidP="00EB2002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Aufsetzen und Einsetzen künstlicher Wimpern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064257FC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A361C70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59FD716E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49438D3D" w14:textId="66456E82" w:rsidR="00484F1E" w:rsidRPr="00EB2002" w:rsidRDefault="00484F1E" w:rsidP="00EB2002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Kenntnis der Überbehaarung und Behaarungsstörungen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F8E2DB5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4C7C5CB5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4F1E" w:rsidRPr="006D74AC" w14:paraId="3E62E50B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97EE32F" w14:textId="197E3D52" w:rsidR="00484F1E" w:rsidRPr="00EB2002" w:rsidRDefault="00484F1E" w:rsidP="00484F1E">
            <w:pPr>
              <w:spacing w:before="40" w:after="40"/>
              <w:rPr>
                <w:szCs w:val="20"/>
              </w:rPr>
            </w:pPr>
            <w:r w:rsidRPr="00484F1E">
              <w:rPr>
                <w:szCs w:val="20"/>
              </w:rPr>
              <w:t>Haarentfernen z</w:t>
            </w:r>
            <w:r>
              <w:rPr>
                <w:szCs w:val="20"/>
              </w:rPr>
              <w:t>. </w:t>
            </w:r>
            <w:r w:rsidRPr="00484F1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4F1E">
              <w:rPr>
                <w:szCs w:val="20"/>
              </w:rPr>
              <w:t xml:space="preserve"> im Gesicht, an den Beinen,</w:t>
            </w:r>
            <w:r>
              <w:rPr>
                <w:szCs w:val="20"/>
              </w:rPr>
              <w:t xml:space="preserve"> </w:t>
            </w:r>
            <w:r w:rsidRPr="00484F1E">
              <w:rPr>
                <w:szCs w:val="20"/>
              </w:rPr>
              <w:t>unter den Achseln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13DE6F66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7645021" w14:textId="77777777" w:rsidR="00484F1E" w:rsidRPr="006D74AC" w:rsidRDefault="00484F1E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7FB4B3A" w14:textId="4964652E" w:rsidR="00091122" w:rsidRDefault="00091122">
      <w:r>
        <w:br w:type="page"/>
      </w:r>
    </w:p>
    <w:tbl>
      <w:tblPr>
        <w:tblW w:w="506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546"/>
        <w:gridCol w:w="815"/>
        <w:gridCol w:w="813"/>
      </w:tblGrid>
      <w:tr w:rsidR="00091122" w:rsidRPr="006D74AC" w14:paraId="15DEB4A8" w14:textId="77777777" w:rsidTr="00091122">
        <w:trPr>
          <w:trHeight w:hRule="exact" w:val="595"/>
        </w:trPr>
        <w:tc>
          <w:tcPr>
            <w:tcW w:w="4113" w:type="pct"/>
            <w:shd w:val="clear" w:color="auto" w:fill="354E19"/>
            <w:vAlign w:val="center"/>
          </w:tcPr>
          <w:p w14:paraId="757A8E8F" w14:textId="77777777" w:rsidR="00091122" w:rsidRPr="006D74AC" w:rsidRDefault="00091122" w:rsidP="008433E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F14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44" w:type="pct"/>
            <w:shd w:val="clear" w:color="auto" w:fill="354E19"/>
            <w:vAlign w:val="center"/>
          </w:tcPr>
          <w:p w14:paraId="79BBFA68" w14:textId="77777777" w:rsidR="00091122" w:rsidRPr="006D74AC" w:rsidRDefault="00091122" w:rsidP="008433E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43" w:type="pct"/>
            <w:shd w:val="clear" w:color="auto" w:fill="354E19"/>
            <w:vAlign w:val="center"/>
          </w:tcPr>
          <w:p w14:paraId="3B826EBA" w14:textId="77777777" w:rsidR="00091122" w:rsidRPr="006D74AC" w:rsidRDefault="00091122" w:rsidP="008433E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91122" w:rsidRPr="006D74AC" w14:paraId="5D4FA666" w14:textId="77777777" w:rsidTr="00091122">
        <w:trPr>
          <w:trHeight w:hRule="exact" w:val="454"/>
        </w:trPr>
        <w:tc>
          <w:tcPr>
            <w:tcW w:w="4113" w:type="pct"/>
            <w:shd w:val="clear" w:color="auto" w:fill="BFBFBF"/>
            <w:vAlign w:val="center"/>
          </w:tcPr>
          <w:p w14:paraId="1BC557C4" w14:textId="77777777" w:rsidR="00091122" w:rsidRPr="006D74AC" w:rsidRDefault="00091122" w:rsidP="008433E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44" w:type="pct"/>
            <w:shd w:val="clear" w:color="auto" w:fill="BFBFBF"/>
            <w:vAlign w:val="center"/>
          </w:tcPr>
          <w:p w14:paraId="7CC4BFA9" w14:textId="77777777" w:rsidR="00091122" w:rsidRPr="006D74AC" w:rsidRDefault="00091122" w:rsidP="008433E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43" w:type="pct"/>
            <w:shd w:val="clear" w:color="auto" w:fill="BFBFBF"/>
            <w:vAlign w:val="center"/>
          </w:tcPr>
          <w:p w14:paraId="22F99ED9" w14:textId="77777777" w:rsidR="00091122" w:rsidRPr="006D74AC" w:rsidRDefault="00091122" w:rsidP="008433E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2C0B" w:rsidRPr="006D74AC" w14:paraId="7C705B06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45E3277" w14:textId="370A7EC3" w:rsidR="00DE2C0B" w:rsidRPr="00484F1E" w:rsidRDefault="00DE2C0B" w:rsidP="00484F1E">
            <w:pPr>
              <w:spacing w:before="40" w:after="40"/>
              <w:rPr>
                <w:szCs w:val="20"/>
              </w:rPr>
            </w:pPr>
            <w:r w:rsidRPr="00FE1019">
              <w:rPr>
                <w:szCs w:val="20"/>
              </w:rPr>
              <w:t>Anwenden der apparativen Kosmetik, wie z</w:t>
            </w:r>
            <w:r>
              <w:rPr>
                <w:szCs w:val="20"/>
              </w:rPr>
              <w:t>. </w:t>
            </w:r>
            <w:r w:rsidRPr="00FE101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E1019">
              <w:rPr>
                <w:szCs w:val="20"/>
              </w:rPr>
              <w:t xml:space="preserve"> durch Ozongeräte, Iontophorese, Hochfrequenz, Interferenzstrom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1CC2C272" w14:textId="77777777" w:rsidR="00DE2C0B" w:rsidRPr="006D74AC" w:rsidRDefault="00DE2C0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6AA4044" w14:textId="77777777" w:rsidR="00DE2C0B" w:rsidRPr="006D74AC" w:rsidRDefault="00DE2C0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7C8ED63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BD34E03" w14:textId="23875221" w:rsidR="00DE2C0B" w:rsidRPr="00FE1019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Grundkenntnisse in Farb- und Stilberatung;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Grundkenntnisse der Grund- und Mischfarben,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Farbharmonie und Farbkontraste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5464AB65" w14:textId="77777777" w:rsidR="00DE2C0B" w:rsidRPr="006D74AC" w:rsidRDefault="00DE2C0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5102785" w14:textId="77777777" w:rsidR="00DE2C0B" w:rsidRPr="006D74AC" w:rsidRDefault="00DE2C0B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26F06DD8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35C1CFA" w14:textId="4AB65A55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Dekorative Kosmetik im Bereich des Tages</w:t>
            </w:r>
            <w:r>
              <w:rPr>
                <w:szCs w:val="20"/>
              </w:rPr>
              <w:t xml:space="preserve">- </w:t>
            </w:r>
            <w:r w:rsidRPr="00DE2C0B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Abend-Make-ups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FD091B7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6F72ECB9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1083F77D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66B62FF" w14:textId="6A7D7DBC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 xml:space="preserve">Dekorative Kosmetik im Bereich des </w:t>
            </w:r>
            <w:proofErr w:type="spellStart"/>
            <w:r w:rsidRPr="00DE2C0B">
              <w:rPr>
                <w:szCs w:val="20"/>
              </w:rPr>
              <w:t>Abendsowie</w:t>
            </w:r>
            <w:proofErr w:type="spellEnd"/>
            <w:r>
              <w:rPr>
                <w:szCs w:val="20"/>
              </w:rPr>
              <w:t xml:space="preserve"> </w:t>
            </w:r>
            <w:proofErr w:type="gramStart"/>
            <w:r w:rsidRPr="00DE2C0B">
              <w:rPr>
                <w:szCs w:val="20"/>
              </w:rPr>
              <w:t>Phantasie</w:t>
            </w:r>
            <w:proofErr w:type="gramEnd"/>
            <w:r w:rsidRPr="00DE2C0B">
              <w:rPr>
                <w:szCs w:val="20"/>
              </w:rPr>
              <w:t>-Make-ups und für besondere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Anlässe; Spezialschminktechniken wie z</w:t>
            </w:r>
            <w:r>
              <w:rPr>
                <w:szCs w:val="20"/>
              </w:rPr>
              <w:t>. </w:t>
            </w:r>
            <w:r w:rsidRPr="00DE2C0B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DE2C0B">
              <w:rPr>
                <w:szCs w:val="20"/>
              </w:rPr>
              <w:t>Camouflage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70C1C55F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4BDCD90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1CE74D0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28DE6A69" w14:textId="3059DB30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Kenntnis der Ersten Hilfe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7A4FA75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0F29632D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0349FC95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6BCC9AE9" w14:textId="72185EF8" w:rsidR="00DE2C0B" w:rsidRPr="00DE2C0B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Durchführen von Spezialbehandlungen, wie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DE2C0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0B">
              <w:rPr>
                <w:szCs w:val="20"/>
              </w:rPr>
              <w:t xml:space="preserve"> am Dekolleté und am Hals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35FC120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2B80B26E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96C0931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F8E345D" w14:textId="2E87AE4B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Durchführen von Spezialbehandlungen, wie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z</w:t>
            </w:r>
            <w:r>
              <w:rPr>
                <w:szCs w:val="20"/>
              </w:rPr>
              <w:t>. </w:t>
            </w:r>
            <w:r w:rsidRPr="00DE2C0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0B">
              <w:rPr>
                <w:szCs w:val="20"/>
              </w:rPr>
              <w:t xml:space="preserve"> der Mundpartie, Augenpartie, bei hochgelagerten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Äderchen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0D7BC24F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FDA012D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A273C24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5324B2F3" w14:textId="3D4B9C45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Verabreichen von Ampullen, Packungen und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Masken bei Gesichts-, Hals-, Nacken- und</w:t>
            </w:r>
            <w:r>
              <w:rPr>
                <w:szCs w:val="20"/>
              </w:rPr>
              <w:t xml:space="preserve"> </w:t>
            </w:r>
            <w:proofErr w:type="spellStart"/>
            <w:r w:rsidRPr="00DE2C0B">
              <w:rPr>
                <w:szCs w:val="20"/>
              </w:rPr>
              <w:t>Dekolletépflege</w:t>
            </w:r>
            <w:proofErr w:type="spellEnd"/>
            <w:r w:rsidRPr="00DE2C0B">
              <w:rPr>
                <w:szCs w:val="20"/>
              </w:rPr>
              <w:t xml:space="preserve"> (ausgenommen Massagen zu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Heilzwecken) unter Anwendung verschiedener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Methoden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1F202DF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7C6502BE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05F6067D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04B0D5F9" w14:textId="5D42FB61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Straffungs- und Spezialbehandlungen von Gesicht,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Hals und Dekolleté; Anwenden verschiedener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Massagemethoden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0F0D6C81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1084970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68F076D2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BF46F64" w14:textId="78C6E02D" w:rsidR="00DE2C0B" w:rsidRPr="00DE2C0B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Straffungsbehandlungen z</w:t>
            </w:r>
            <w:r>
              <w:rPr>
                <w:szCs w:val="20"/>
              </w:rPr>
              <w:t>. </w:t>
            </w:r>
            <w:r w:rsidRPr="00DE2C0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E2C0B">
              <w:rPr>
                <w:szCs w:val="20"/>
              </w:rPr>
              <w:t xml:space="preserve"> an Oberarmen,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Oberschenkel, Bauch, Brustbehandlungen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6B623D78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2DD2566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14267CCB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0545C4CE" w14:textId="74C614A4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 xml:space="preserve">Schlankheits- und </w:t>
            </w:r>
            <w:proofErr w:type="spellStart"/>
            <w:r w:rsidRPr="00DE2C0B">
              <w:rPr>
                <w:szCs w:val="20"/>
              </w:rPr>
              <w:t>Cellulitebehandlungen</w:t>
            </w:r>
            <w:proofErr w:type="spellEnd"/>
            <w:r w:rsidRPr="00DE2C0B">
              <w:rPr>
                <w:szCs w:val="20"/>
              </w:rPr>
              <w:t xml:space="preserve"> an den verschiedenen Körperstellen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09BB7D9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0E8F5B2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52F1A6D2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0D45BB57" w14:textId="22457BFB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Hand- und Nagelpflege (Maniküre), Lackieren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der Fingernägel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730BAD8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6A6A6" w:themeFill="background1" w:themeFillShade="A6"/>
            <w:vAlign w:val="center"/>
          </w:tcPr>
          <w:p w14:paraId="337CB9D3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0E3FD7C7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11C61493" w14:textId="3FD6FD9D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Nagelmodellage, Nagelschmuck; Handmassage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770FF31C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9EE83B7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271E27DA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516FEC3" w14:textId="7316D1D4" w:rsidR="00DE2C0B" w:rsidRPr="00DE2C0B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Kenntnis der Aromatherapie und einfache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Anwendungen</w:t>
            </w:r>
          </w:p>
        </w:tc>
        <w:tc>
          <w:tcPr>
            <w:tcW w:w="444" w:type="pct"/>
            <w:shd w:val="clear" w:color="auto" w:fill="A6A6A6" w:themeFill="background1" w:themeFillShade="A6"/>
            <w:vAlign w:val="center"/>
          </w:tcPr>
          <w:p w14:paraId="0E386499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477E879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50D9D1F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2F4DC522" w14:textId="03E0678B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Grundkenntnisse der gesunden Ernährung und Lebensweise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59079C0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29B90C5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2023AC1B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3A39DEB2" w14:textId="06CA7C76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DE2C0B">
              <w:rPr>
                <w:szCs w:val="20"/>
              </w:rPr>
              <w:t>(§§ 9 und 10 BAG)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921174C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6587A722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4C394C53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4CC701DD" w14:textId="17F6EE46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Kenntnis der einschlägigen Sicherheitsvorschriften sowie der sonstigen in Betracht kommenden</w:t>
            </w:r>
            <w:r>
              <w:rPr>
                <w:szCs w:val="20"/>
              </w:rPr>
              <w:t xml:space="preserve"> </w:t>
            </w:r>
            <w:r w:rsidRPr="00DE2C0B">
              <w:rPr>
                <w:szCs w:val="20"/>
              </w:rPr>
              <w:t>Vorschriften zum Schutze des Lebens und der Gesundheit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99F501C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3FD0E6F6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703467D0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62CE584A" w14:textId="776AECF3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Kenntnis von Abfalltrennung, Wertguttrennung und Recycling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11E0A84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1886388E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E2C0B" w:rsidRPr="006D74AC" w14:paraId="7641CAD2" w14:textId="77777777" w:rsidTr="00091122">
        <w:trPr>
          <w:trHeight w:val="397"/>
        </w:trPr>
        <w:tc>
          <w:tcPr>
            <w:tcW w:w="4113" w:type="pct"/>
            <w:shd w:val="clear" w:color="auto" w:fill="auto"/>
            <w:vAlign w:val="center"/>
          </w:tcPr>
          <w:p w14:paraId="76E4372A" w14:textId="03FD40EF" w:rsidR="00DE2C0B" w:rsidRPr="00EB2002" w:rsidRDefault="00DE2C0B" w:rsidP="00DE2C0B">
            <w:pPr>
              <w:spacing w:before="40" w:after="40"/>
              <w:rPr>
                <w:szCs w:val="20"/>
              </w:rPr>
            </w:pPr>
            <w:r w:rsidRPr="00DE2C0B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C2537C7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AD987F7" w14:textId="77777777" w:rsidR="00DE2C0B" w:rsidRPr="006D74AC" w:rsidRDefault="00DE2C0B" w:rsidP="00DE2C0B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CC6F8F3" w14:textId="77777777" w:rsidR="000B52D5" w:rsidRPr="00A60E22" w:rsidRDefault="000B52D5" w:rsidP="00D66997">
      <w:pPr>
        <w:rPr>
          <w:szCs w:val="20"/>
        </w:rPr>
      </w:pPr>
    </w:p>
    <w:sectPr w:rsidR="000B52D5" w:rsidRPr="00A60E22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05896B9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FE1019" w:rsidRPr="00FE1019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Kosmetiker / Kosmetikerin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8B6DB01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FE1019" w:rsidRPr="00FE1019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Kosmetiker / Kosmetikerin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28FA"/>
    <w:rsid w:val="00065110"/>
    <w:rsid w:val="00066469"/>
    <w:rsid w:val="000723E8"/>
    <w:rsid w:val="000747C3"/>
    <w:rsid w:val="00091122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50E0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4FC2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21EC0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4F1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E61D0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1201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288"/>
    <w:rsid w:val="00616358"/>
    <w:rsid w:val="00623256"/>
    <w:rsid w:val="00623E32"/>
    <w:rsid w:val="00625A7A"/>
    <w:rsid w:val="00627173"/>
    <w:rsid w:val="00627262"/>
    <w:rsid w:val="00631815"/>
    <w:rsid w:val="006347A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1458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40AD"/>
    <w:rsid w:val="00736455"/>
    <w:rsid w:val="00736953"/>
    <w:rsid w:val="00737925"/>
    <w:rsid w:val="00741BFA"/>
    <w:rsid w:val="00754C3B"/>
    <w:rsid w:val="00775017"/>
    <w:rsid w:val="00775D75"/>
    <w:rsid w:val="00780349"/>
    <w:rsid w:val="00781B85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C7890"/>
    <w:rsid w:val="009D1B66"/>
    <w:rsid w:val="009D7F1E"/>
    <w:rsid w:val="009E2130"/>
    <w:rsid w:val="009E69F0"/>
    <w:rsid w:val="009F3F36"/>
    <w:rsid w:val="009F5012"/>
    <w:rsid w:val="009F6109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3468"/>
    <w:rsid w:val="00A557C4"/>
    <w:rsid w:val="00A60CEB"/>
    <w:rsid w:val="00A60E22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3AB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5E26"/>
    <w:rsid w:val="00CE6A34"/>
    <w:rsid w:val="00CF018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123EF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B5733"/>
    <w:rsid w:val="00DC03D0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2C0B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2D0F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B2002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EF7055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941F4"/>
    <w:rsid w:val="00FA0BBB"/>
    <w:rsid w:val="00FA1941"/>
    <w:rsid w:val="00FA6442"/>
    <w:rsid w:val="00FB11A5"/>
    <w:rsid w:val="00FB2734"/>
    <w:rsid w:val="00FB2CC7"/>
    <w:rsid w:val="00FB4AAA"/>
    <w:rsid w:val="00FC1275"/>
    <w:rsid w:val="00FC1C0D"/>
    <w:rsid w:val="00FE1019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796</Words>
  <Characters>5998</Characters>
  <Application>Microsoft Office Word</Application>
  <DocSecurity>0</DocSecurity>
  <Lines>374</Lines>
  <Paragraphs>130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700</cp:revision>
  <dcterms:created xsi:type="dcterms:W3CDTF">2023-03-29T11:46:00Z</dcterms:created>
  <dcterms:modified xsi:type="dcterms:W3CDTF">2024-08-26T12:07:00Z</dcterms:modified>
</cp:coreProperties>
</file>